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972000" cy="972000"/>
            <wp:docPr id="1" name="Picture 1"/>
            <wp:cNvGraphicFramePr>
              <a:graphicFrameLocks noChangeAspect="1"/>
            </wp:cNvGraphicFramePr>
            <a:graphic>
              <a:graphicData uri="http://schemas.openxmlformats.org/drawingml/2006/picture">
                <pic:pic>
                  <pic:nvPicPr>
                    <pic:cNvPr id="0" name="app-icon.png"/>
                    <pic:cNvPicPr/>
                  </pic:nvPicPr>
                  <pic:blipFill>
                    <a:blip r:embed="rId10"/>
                    <a:stretch>
                      <a:fillRect/>
                    </a:stretch>
                  </pic:blipFill>
                  <pic:spPr>
                    <a:xfrm>
                      <a:off x="0" y="0"/>
                      <a:ext cx="972000" cy="972000"/>
                    </a:xfrm>
                    <a:prstGeom prst="rect"/>
                  </pic:spPr>
                </pic:pic>
              </a:graphicData>
            </a:graphic>
          </wp:inline>
        </w:drawing>
      </w:r>
    </w:p>
    <w:p>
      <w:pPr>
        <w:pStyle w:val="Title"/>
        <w:jc w:val="center"/>
      </w:pPr>
      <w:r>
        <w:t>DELTA-SIERRA QUITTANCES</w:t>
      </w:r>
    </w:p>
    <w:p>
      <w:pPr>
        <w:jc w:val="center"/>
      </w:pPr>
      <w:r>
        <w:rPr>
          <w:b/>
          <w:color w:val="1F5AA6"/>
          <w:sz w:val="34"/>
        </w:rPr>
        <w:t>Guide utilisateur — Édition publique</w:t>
      </w:r>
    </w:p>
    <w:p>
      <w:pPr>
        <w:jc w:val="center"/>
      </w:pPr>
      <w:r>
        <w:t>Génération locale de quittances de loyer Word/PDF et préparation assistée des e-mails</w:t>
      </w:r>
    </w:p>
    <w:p/>
    <w:tbl>
      <w:tblPr>
        <w:tblW w:type="auto" w:w="0"/>
        <w:jc w:val="center"/>
        <w:tblLook w:firstColumn="1" w:firstRow="1" w:lastColumn="0" w:lastRow="0" w:noHBand="0" w:noVBand="1" w:val="04A0"/>
      </w:tblPr>
      <w:tblGrid>
        <w:gridCol w:w="10200"/>
      </w:tblGrid>
      <w:tr>
        <w:tc>
          <w:tcPr>
            <w:tcW w:type="dxa" w:w="10200"/>
            <w:shd w:fill="E8F4E8"/>
            <w:tcMar>
              <w:top w:w="180" w:type="dxa"/>
              <w:start w:w="220" w:type="dxa"/>
              <w:bottom w:w="180" w:type="dxa"/>
              <w:end w:w="220" w:type="dxa"/>
            </w:tcMar>
          </w:tcPr>
          <w:p>
            <w:pPr>
              <w:jc w:val="center"/>
            </w:pPr>
            <w:r>
              <w:rPr>
                <w:b/>
                <w:color w:val="226E37"/>
                <w:sz w:val="26"/>
              </w:rPr>
              <w:t>LOGICIEL DISTRIBUÉ GRATUITEMENT</w:t>
            </w:r>
          </w:p>
          <w:p>
            <w:pPr>
              <w:jc w:val="center"/>
            </w:pPr>
            <w:r>
              <w:t xml:space="preserve">Édition publique : </w:t>
            </w:r>
            <w:r>
              <w:rPr>
                <w:b/>
              </w:rPr>
              <w:t>100 % fictives</w:t>
            </w:r>
          </w:p>
        </w:tc>
      </w:tr>
    </w:tbl>
    <w:p/>
    <w:p>
      <w:pPr>
        <w:jc w:val="center"/>
      </w:pPr>
      <w:r>
        <w:rPr>
          <w:b/>
        </w:rPr>
        <w:t>Édition : PUBLIC — données fictives</w:t>
      </w:r>
    </w:p>
    <w:p>
      <w:pPr>
        <w:jc w:val="center"/>
      </w:pPr>
      <w:r>
        <w:t>Compatibilité testée : Windows 11 x64 uniquement</w:t>
      </w:r>
    </w:p>
    <w:p>
      <w:pPr>
        <w:jc w:val="center"/>
      </w:pPr>
      <w:r>
        <w:rPr>
          <w:i/>
          <w:sz w:val="19"/>
        </w:rPr>
        <w:t>Le fonctionnement sur d’autres versions de Windows, sur Windows ARM, macOS ou Linux n’est pas garanti.</w:t>
      </w:r>
    </w:p>
    <w:p>
      <w:r>
        <w:br w:type="page"/>
      </w:r>
    </w:p>
    <w:p>
      <w:pPr>
        <w:pStyle w:val="Heading1"/>
      </w:pPr>
      <w:r>
        <w:t>1. À quoi sert Delta-Sierra Quittances ?</w:t>
      </w:r>
    </w:p>
    <w:p>
      <w:r>
        <w:t>Delta-Sierra Quittances est un programme local destiné à simplifier la création périodique de quittances de loyer. Il permet de sélectionner un mois, une date de paiement et un ou plusieurs logements, de produire automatiquement un document Word (.docx) et un PDF (.pdf) pour chaque quittance, puis de préparer les e-mails correspondants sans jamais les envoyer automatiquement.</w:t>
      </w:r>
    </w:p>
    <w:tbl>
      <w:tblPr>
        <w:tblW w:type="auto" w:w="0"/>
        <w:jc w:val="center"/>
        <w:tblLook w:firstColumn="1" w:firstRow="1" w:lastColumn="0" w:lastRow="0" w:noHBand="0" w:noVBand="1" w:val="04A0"/>
      </w:tblPr>
      <w:tblGrid>
        <w:gridCol w:w="10200"/>
      </w:tblGrid>
      <w:tr>
        <w:tc>
          <w:tcPr>
            <w:tcW w:type="dxa" w:w="10200"/>
            <w:shd w:fill="EAF2FB"/>
            <w:tcMar>
              <w:top w:w="160" w:type="dxa"/>
              <w:start w:w="180" w:type="dxa"/>
              <w:bottom w:w="160" w:type="dxa"/>
              <w:end w:w="180" w:type="dxa"/>
            </w:tcMar>
          </w:tcPr>
          <w:p>
            <w:r>
              <w:rPr>
                <w:b/>
                <w:color w:val="163F6E"/>
                <w:sz w:val="22"/>
              </w:rPr>
              <w:t>Principe de fonctionnement</w:t>
            </w:r>
            <w:r>
              <w:br/>
              <w:t>Le programme est portable : il n’est pas nécessaire de lancer un installateur. Décompressez le ZIP, puis double-cliquez sur Delta-Sierra-Quittances.exe. Microsoft Word doit être installé sur l’ordinateur pour la génération des fichiers Word et PDF.</w:t>
            </w:r>
          </w:p>
        </w:tc>
      </w:tr>
    </w:tbl>
    <w:p/>
    <w:p>
      <w:pPr>
        <w:jc w:val="center"/>
      </w:pPr>
      <w:r>
        <w:drawing>
          <wp:inline xmlns:a="http://schemas.openxmlformats.org/drawingml/2006/main" xmlns:pic="http://schemas.openxmlformats.org/drawingml/2006/picture">
            <wp:extent cx="6120000" cy="1311429"/>
            <wp:docPr id="2" name="Picture 2"/>
            <wp:cNvGraphicFramePr>
              <a:graphicFrameLocks noChangeAspect="1"/>
            </wp:cNvGraphicFramePr>
            <a:graphic>
              <a:graphicData uri="http://schemas.openxmlformats.org/drawingml/2006/picture">
                <pic:pic>
                  <pic:nvPicPr>
                    <pic:cNvPr id="0" name="workflow.png"/>
                    <pic:cNvPicPr/>
                  </pic:nvPicPr>
                  <pic:blipFill>
                    <a:blip r:embed="rId12"/>
                    <a:stretch>
                      <a:fillRect/>
                    </a:stretch>
                  </pic:blipFill>
                  <pic:spPr>
                    <a:xfrm>
                      <a:off x="0" y="0"/>
                      <a:ext cx="6120000" cy="1311429"/>
                    </a:xfrm>
                    <a:prstGeom prst="rect"/>
                  </pic:spPr>
                </pic:pic>
              </a:graphicData>
            </a:graphic>
          </wp:inline>
        </w:drawing>
      </w:r>
    </w:p>
    <w:p>
      <w:pPr>
        <w:pStyle w:val="DSCaption"/>
        <w:jc w:val="center"/>
      </w:pPr>
      <w:r>
        <w:t>Les cinq étapes essentielles du logiciel.</w:t>
      </w:r>
    </w:p>
    <w:p>
      <w:pPr>
        <w:pStyle w:val="Heading1"/>
      </w:pPr>
      <w:r>
        <w:t>2. Données de démonstration utilisées dans ce guide</w:t>
      </w:r>
    </w:p>
    <w:p>
      <w:r>
        <w:t>Toutes les coordonnées ci-dessous sont fictives et servent uniquement à illustrer le fonctionnement. Elles ne correspondent pas aux données privées de l’auteur ni à celles de ses locataires.</w:t>
      </w:r>
    </w:p>
    <w:tbl>
      <w:tblPr>
        <w:tblStyle w:val="TableGrid"/>
        <w:tblW w:type="auto" w:w="0"/>
        <w:jc w:val="center"/>
        <w:tblLook w:firstColumn="1" w:firstRow="1" w:lastColumn="0" w:lastRow="0" w:noHBand="0" w:noVBand="1" w:val="04A0"/>
      </w:tblPr>
      <w:tblGrid>
        <w:gridCol w:w="5100"/>
        <w:gridCol w:w="5100"/>
      </w:tblGrid>
      <w:tr>
        <w:tc>
          <w:tcPr>
            <w:tcW w:type="dxa" w:w="5100"/>
            <w:shd w:fill="D9E8F5"/>
          </w:tcPr>
          <w:p>
            <w:r>
              <w:rPr>
                <w:b/>
              </w:rPr>
              <w:t>Bailleur fictif</w:t>
            </w:r>
          </w:p>
        </w:tc>
        <w:tc>
          <w:tcPr>
            <w:tcW w:type="dxa" w:w="5100"/>
            <w:shd w:fill="D9E8F5"/>
          </w:tcPr>
          <w:p>
            <w:r>
              <w:rPr>
                <w:b/>
              </w:rPr>
              <w:t>Locataire fictif</w:t>
            </w:r>
          </w:p>
        </w:tc>
      </w:tr>
      <w:tr>
        <w:tc>
          <w:tcPr>
            <w:tcW w:type="dxa" w:w="5100"/>
          </w:tcPr>
          <w:p>
            <w:r>
              <w:t>Louis Philippe</w:t>
              <w:br/>
              <w:t>7 allée du Roi-Fictif</w:t>
              <w:br/>
              <w:t>78000 Versailles</w:t>
              <w:br/>
              <w:t>06 00 00 00 00</w:t>
              <w:br/>
              <w:t>louis.philippe@100 % fictives</w:t>
            </w:r>
          </w:p>
        </w:tc>
        <w:tc>
          <w:tcPr>
            <w:tcW w:type="dxa" w:w="5100"/>
          </w:tcPr>
          <w:p>
            <w:r>
              <w:t>Jacques DUPONT</w:t>
              <w:br/>
              <w:t>15 rue de l’Exemple</w:t>
              <w:br/>
              <w:t>75000 Paris</w:t>
              <w:br/>
              <w:t>06 00 00 00 01</w:t>
              <w:br/>
              <w:t>jacques.dupont@100 % fictives</w:t>
              <w:br/>
              <w:t>Loyer d’exemple : 500 €</w:t>
            </w:r>
          </w:p>
        </w:tc>
      </w:tr>
    </w:tbl>
    <w:tbl>
      <w:tblPr>
        <w:tblW w:type="auto" w:w="0"/>
        <w:jc w:val="center"/>
        <w:tblLook w:firstColumn="1" w:firstRow="1" w:lastColumn="0" w:lastRow="0" w:noHBand="0" w:noVBand="1" w:val="04A0"/>
      </w:tblPr>
      <w:tblGrid>
        <w:gridCol w:w="10200"/>
      </w:tblGrid>
      <w:tr>
        <w:tc>
          <w:tcPr>
            <w:tcW w:type="dxa" w:w="10200"/>
            <w:shd w:fill="FFF4DB"/>
            <w:tcMar>
              <w:top w:w="160" w:type="dxa"/>
              <w:start w:w="180" w:type="dxa"/>
              <w:bottom w:w="160" w:type="dxa"/>
              <w:end w:w="180" w:type="dxa"/>
            </w:tcMar>
          </w:tcPr>
          <w:p>
            <w:r>
              <w:rPr>
                <w:b/>
                <w:color w:val="163F6E"/>
                <w:sz w:val="22"/>
              </w:rPr>
              <w:t>Important</w:t>
            </w:r>
            <w:r>
              <w:br/>
              <w:t>La version actuelle permet d’associer une adresse e-mail à chaque occupation du locataire. L’exemple PUBLIC utilise uniquement des coordonnées fictives et le loyer de démonstration de 500 €.</w:t>
            </w:r>
          </w:p>
        </w:tc>
      </w:tr>
    </w:tbl>
    <w:p/>
    <w:p>
      <w:r>
        <w:br w:type="page"/>
      </w:r>
    </w:p>
    <w:p>
      <w:pPr>
        <w:pStyle w:val="Heading1"/>
      </w:pPr>
      <w:r>
        <w:t>3. Comprendre l’écran principal</w:t>
      </w:r>
    </w:p>
    <w:p>
      <w:pPr>
        <w:jc w:val="center"/>
      </w:pPr>
      <w:r>
        <w:drawing>
          <wp:inline xmlns:a="http://schemas.openxmlformats.org/drawingml/2006/main" xmlns:pic="http://schemas.openxmlformats.org/drawingml/2006/picture">
            <wp:extent cx="6192000" cy="3632640"/>
            <wp:docPr id="3" name="Picture 3"/>
            <wp:cNvGraphicFramePr>
              <a:graphicFrameLocks noChangeAspect="1"/>
            </wp:cNvGraphicFramePr>
            <a:graphic>
              <a:graphicData uri="http://schemas.openxmlformats.org/drawingml/2006/picture">
                <pic:pic>
                  <pic:nvPicPr>
                    <pic:cNvPr id="0" name="interface-principale-annotee.png"/>
                    <pic:cNvPicPr/>
                  </pic:nvPicPr>
                  <pic:blipFill>
                    <a:blip r:embed="rId13"/>
                    <a:stretch>
                      <a:fillRect/>
                    </a:stretch>
                  </pic:blipFill>
                  <pic:spPr>
                    <a:xfrm>
                      <a:off x="0" y="0"/>
                      <a:ext cx="6192000" cy="3632640"/>
                    </a:xfrm>
                    <a:prstGeom prst="rect"/>
                  </pic:spPr>
                </pic:pic>
              </a:graphicData>
            </a:graphic>
          </wp:inline>
        </w:drawing>
      </w:r>
    </w:p>
    <w:p>
      <w:pPr>
        <w:pStyle w:val="DSCaption"/>
        <w:jc w:val="center"/>
      </w:pPr>
      <w:r>
        <w:t>Écran principal reconstitué avec des données entièrement fictives. La version actuelle fonctionne en deux grandes étapes : génération des quittances, puis préparation des e-mails.</w:t>
      </w:r>
    </w:p>
    <w:p>
      <w:r>
        <w:rPr>
          <w:b/>
        </w:rPr>
        <w:t xml:space="preserve">1 — Mois : </w:t>
      </w:r>
      <w:r>
        <w:t>Choisit la période de la quittance. L’année et le mois sont aussi utilisés pour composer automatiquement le nom du fichier.</w:t>
      </w:r>
    </w:p>
    <w:p>
      <w:r>
        <w:rPr>
          <w:b/>
        </w:rPr>
        <w:t xml:space="preserve">2 — Date du paiement : </w:t>
      </w:r>
      <w:r>
        <w:t>Date à laquelle le loyer a été réglé. Une date future est refusée.</w:t>
      </w:r>
    </w:p>
    <w:p>
      <w:r>
        <w:t>3 — Paramètres : Ouvre les coordonnées du bailleur, la signature, les logements, les locataires, leurs adresses e-mail, les loyers, les charges, les dossiers de sortie et les modèles d’e-mail.</w:t>
      </w:r>
    </w:p>
    <w:p>
      <w:r>
        <w:rPr>
          <w:b/>
        </w:rPr>
        <w:t xml:space="preserve">4 — Dossier du logement : </w:t>
      </w:r>
      <w:r>
        <w:t>Ouvre le dossier de sortie correspondant au logement sélectionné.</w:t>
      </w:r>
    </w:p>
    <w:p>
      <w:r>
        <w:rPr>
          <w:b/>
        </w:rPr>
        <w:t xml:space="preserve">5 — Générer : </w:t>
      </w:r>
      <w:r>
        <w:t>Chaque case permet d’inclure ou d’exclure une quittance de la génération en cours.</w:t>
      </w:r>
    </w:p>
    <w:p>
      <w:r>
        <w:t>6 — 1 — GÉNÉRER MES QUITTANCES : lance la production des fichiers Word et PDF pour toutes les lignes cochées. Le bouton 2 — MAILS + QUITTANCES devient ensuite disponible pour ce lot.</w:t>
      </w:r>
    </w:p>
    <w:p>
      <w:r>
        <w:br w:type="page"/>
      </w:r>
    </w:p>
    <w:p>
      <w:pPr>
        <w:pStyle w:val="Heading1"/>
      </w:pPr>
      <w:r>
        <w:t>4. Paramétrer le logiciel</w:t>
      </w:r>
    </w:p>
    <w:p>
      <w:pPr>
        <w:jc w:val="center"/>
      </w:pPr>
      <w:r>
        <w:drawing>
          <wp:inline xmlns:a="http://schemas.openxmlformats.org/drawingml/2006/main" xmlns:pic="http://schemas.openxmlformats.org/drawingml/2006/picture">
            <wp:extent cx="6192000" cy="3792600"/>
            <wp:docPr id="4" name="Picture 4"/>
            <wp:cNvGraphicFramePr>
              <a:graphicFrameLocks noChangeAspect="1"/>
            </wp:cNvGraphicFramePr>
            <a:graphic>
              <a:graphicData uri="http://schemas.openxmlformats.org/drawingml/2006/picture">
                <pic:pic>
                  <pic:nvPicPr>
                    <pic:cNvPr id="0" name="parametres-annotes.png"/>
                    <pic:cNvPicPr/>
                  </pic:nvPicPr>
                  <pic:blipFill>
                    <a:blip r:embed="rId14"/>
                    <a:stretch>
                      <a:fillRect/>
                    </a:stretch>
                  </pic:blipFill>
                  <pic:spPr>
                    <a:xfrm>
                      <a:off x="0" y="0"/>
                      <a:ext cx="6192000" cy="3792600"/>
                    </a:xfrm>
                    <a:prstGeom prst="rect"/>
                  </pic:spPr>
                </pic:pic>
              </a:graphicData>
            </a:graphic>
          </wp:inline>
        </w:drawing>
      </w:r>
    </w:p>
    <w:p>
      <w:pPr>
        <w:pStyle w:val="DSCaption"/>
        <w:jc w:val="center"/>
      </w:pPr>
      <w:r>
        <w:t>Fenêtre Paramètres reconstituée avec Louis Philippe et Jacques Dupont, personnages fictifs.</w:t>
      </w:r>
    </w:p>
    <w:p>
      <w:pPr>
        <w:pStyle w:val="Heading2"/>
      </w:pPr>
      <w:r>
        <w:t>4.1 Coordonnées du bailleur</w:t>
      </w:r>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1</w:t>
            </w:r>
          </w:p>
        </w:tc>
        <w:tc>
          <w:tcPr>
            <w:tcW w:type="dxa" w:w="5100"/>
            <w:tcMar>
              <w:top w:w="90" w:type="dxa"/>
              <w:start w:w="140" w:type="dxa"/>
              <w:bottom w:w="90" w:type="dxa"/>
              <w:end w:w="140" w:type="dxa"/>
            </w:tcMar>
          </w:tcPr>
          <w:p>
            <w:r>
              <w:rPr>
                <w:b/>
                <w:sz w:val="23"/>
              </w:rPr>
              <w:t>Ouvrir Paramètres</w:t>
            </w:r>
            <w:r>
              <w:br/>
              <w:t>Depuis l’écran principal, cliquez sur « Paramètres ».</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2</w:t>
            </w:r>
          </w:p>
        </w:tc>
        <w:tc>
          <w:tcPr>
            <w:tcW w:type="dxa" w:w="5100"/>
            <w:tcMar>
              <w:top w:w="90" w:type="dxa"/>
              <w:start w:w="140" w:type="dxa"/>
              <w:bottom w:w="90" w:type="dxa"/>
              <w:end w:w="140" w:type="dxa"/>
            </w:tcMar>
          </w:tcPr>
          <w:p>
            <w:r>
              <w:rPr>
                <w:b/>
                <w:sz w:val="23"/>
              </w:rPr>
              <w:t>Renseigner l’identité</w:t>
            </w:r>
            <w:r>
              <w:br/>
              <w:t>Complétez le nom du bailleur, le nom court, l’adresse utilisée sur la quittance, le lieu d’émission, le téléphone et l’e-mail.</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3</w:t>
            </w:r>
          </w:p>
        </w:tc>
        <w:tc>
          <w:tcPr>
            <w:tcW w:type="dxa" w:w="5100"/>
            <w:tcMar>
              <w:top w:w="90" w:type="dxa"/>
              <w:start w:w="140" w:type="dxa"/>
              <w:bottom w:w="90" w:type="dxa"/>
              <w:end w:w="140" w:type="dxa"/>
            </w:tcMar>
          </w:tcPr>
          <w:p>
            <w:r>
              <w:rPr>
                <w:b/>
                <w:sz w:val="23"/>
              </w:rPr>
              <w:t>Ajouter une signature</w:t>
            </w:r>
            <w:r>
              <w:br/>
              <w:t>Cochez « Utiliser ma signature graphique », puis cliquez sur « Choisir signature PNG ». Sélectionnez une image PNG de votre signature.</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4</w:t>
            </w:r>
          </w:p>
        </w:tc>
        <w:tc>
          <w:tcPr>
            <w:tcW w:type="dxa" w:w="5100"/>
            <w:tcMar>
              <w:top w:w="90" w:type="dxa"/>
              <w:start w:w="140" w:type="dxa"/>
              <w:bottom w:w="90" w:type="dxa"/>
              <w:end w:w="140" w:type="dxa"/>
            </w:tcMar>
          </w:tcPr>
          <w:p>
            <w:r>
              <w:rPr>
                <w:b/>
                <w:sz w:val="23"/>
              </w:rPr>
              <w:t>Définir un dossier par défaut</w:t>
            </w:r>
            <w:r>
              <w:br/>
              <w:t>Choisissez le dossier dans lequel les quittances seront enregistrées lorsqu’aucun dossier spécifique n’est défini pour le logement.</w:t>
            </w:r>
          </w:p>
        </w:tc>
      </w:tr>
    </w:tbl>
    <w:p/>
    <w:p>
      <w:pPr>
        <w:pStyle w:val="Heading2"/>
      </w:pPr>
      <w:r>
        <w:t>4.2 Ajouter un logement et un locataire</w:t>
      </w:r>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1</w:t>
            </w:r>
          </w:p>
        </w:tc>
        <w:tc>
          <w:tcPr>
            <w:tcW w:type="dxa" w:w="5100"/>
            <w:tcMar>
              <w:top w:w="90" w:type="dxa"/>
              <w:start w:w="140" w:type="dxa"/>
              <w:bottom w:w="90" w:type="dxa"/>
              <w:end w:w="140" w:type="dxa"/>
            </w:tcMar>
          </w:tcPr>
          <w:p>
            <w:r>
              <w:rPr>
                <w:b/>
                <w:sz w:val="23"/>
              </w:rPr>
              <w:t>Créer une nouvelle ligne</w:t>
            </w:r>
            <w:r>
              <w:br/>
              <w:t>Dans le tableau des logements, utilisez la nouvelle ligne vide située à la fin du tableau.</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2</w:t>
            </w:r>
          </w:p>
        </w:tc>
        <w:tc>
          <w:tcPr>
            <w:tcW w:type="dxa" w:w="5100"/>
            <w:tcMar>
              <w:top w:w="90" w:type="dxa"/>
              <w:start w:w="140" w:type="dxa"/>
              <w:bottom w:w="90" w:type="dxa"/>
              <w:end w:w="140" w:type="dxa"/>
            </w:tcMar>
          </w:tcPr>
          <w:p>
            <w:r>
              <w:rPr>
                <w:b/>
                <w:sz w:val="23"/>
              </w:rPr>
              <w:t>Activer le logement</w:t>
            </w:r>
            <w:r>
              <w:br/>
              <w:t>Cochez « Utiliser ». Un logement décoché reste conservé dans les paramètres mais n’est pas proposé pour la génération.</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3</w:t>
            </w:r>
          </w:p>
        </w:tc>
        <w:tc>
          <w:tcPr>
            <w:tcW w:type="dxa" w:w="5100"/>
            <w:tcMar>
              <w:top w:w="90" w:type="dxa"/>
              <w:start w:w="140" w:type="dxa"/>
              <w:bottom w:w="90" w:type="dxa"/>
              <w:end w:w="140" w:type="dxa"/>
            </w:tcMar>
          </w:tcPr>
          <w:p>
            <w:r>
              <w:rPr>
                <w:b/>
                <w:sz w:val="23"/>
              </w:rPr>
              <w:t>Saisir l’adresse et le locataire</w:t>
            </w:r>
            <w:r>
              <w:br/>
              <w:t>Exemple public : « 15 rue de l’Exemple, 75000 Paris » et « Jacques DUPONT ».</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4</w:t>
            </w:r>
          </w:p>
        </w:tc>
        <w:tc>
          <w:tcPr>
            <w:tcW w:type="dxa" w:w="5100"/>
            <w:tcMar>
              <w:top w:w="90" w:type="dxa"/>
              <w:start w:w="140" w:type="dxa"/>
              <w:bottom w:w="90" w:type="dxa"/>
              <w:end w:w="140" w:type="dxa"/>
            </w:tcMar>
          </w:tcPr>
          <w:p>
            <w:r>
              <w:rPr>
                <w:b/>
                <w:sz w:val="23"/>
              </w:rPr>
              <w:t>Saisir le loyer et les charges</w:t>
            </w:r>
            <w:r>
              <w:br/>
              <w:t>Exemple : loyer 500 €, charges 0 €. Les montants acceptent au maximum deux décimales.</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5</w:t>
            </w:r>
          </w:p>
        </w:tc>
        <w:tc>
          <w:tcPr>
            <w:tcW w:type="dxa" w:w="5100"/>
            <w:tcMar>
              <w:top w:w="90" w:type="dxa"/>
              <w:start w:w="140" w:type="dxa"/>
              <w:bottom w:w="90" w:type="dxa"/>
              <w:end w:w="140" w:type="dxa"/>
            </w:tcMar>
          </w:tcPr>
          <w:p>
            <w:r>
              <w:rPr>
                <w:b/>
                <w:sz w:val="23"/>
              </w:rPr>
              <w:t>Indiquer le paiement</w:t>
            </w:r>
            <w:r>
              <w:br/>
              <w:t>Saisissez le mode de paiement, par exemple « Virement ».</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6</w:t>
            </w:r>
          </w:p>
        </w:tc>
        <w:tc>
          <w:tcPr>
            <w:tcW w:type="dxa" w:w="5100"/>
            <w:tcMar>
              <w:top w:w="90" w:type="dxa"/>
              <w:start w:w="140" w:type="dxa"/>
              <w:bottom w:w="90" w:type="dxa"/>
              <w:end w:w="140" w:type="dxa"/>
            </w:tcMar>
          </w:tcPr>
          <w:p>
            <w:r>
              <w:rPr>
                <w:b/>
                <w:sz w:val="23"/>
              </w:rPr>
              <w:t>Indiquer les dates d’occupation</w:t>
            </w:r>
            <w:r>
              <w:br/>
              <w:t>La date de début est au format yyyy-MM-dd, par exemple 2026-01-01. La date de fin peut rester vide si l’occupation est en cours.</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7</w:t>
            </w:r>
          </w:p>
        </w:tc>
        <w:tc>
          <w:tcPr>
            <w:tcW w:type="dxa" w:w="5100"/>
            <w:tcMar>
              <w:top w:w="90" w:type="dxa"/>
              <w:start w:w="140" w:type="dxa"/>
              <w:bottom w:w="90" w:type="dxa"/>
              <w:end w:w="140" w:type="dxa"/>
            </w:tcMar>
          </w:tcPr>
          <w:p>
            <w:r>
              <w:rPr>
                <w:b/>
                <w:sz w:val="23"/>
              </w:rPr>
              <w:t>Choisir le dossier du logement</w:t>
            </w:r>
            <w:r>
              <w:br/>
              <w:t>Double-cliquez dans la cellule « Dossier Word/PDF » pour sélectionner un dossier spécifique à ce logement.</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8</w:t>
            </w:r>
          </w:p>
        </w:tc>
        <w:tc>
          <w:tcPr>
            <w:tcW w:type="dxa" w:w="5100"/>
            <w:tcMar>
              <w:top w:w="90" w:type="dxa"/>
              <w:start w:w="140" w:type="dxa"/>
              <w:bottom w:w="90" w:type="dxa"/>
              <w:end w:w="140" w:type="dxa"/>
            </w:tcMar>
          </w:tcPr>
          <w:p>
            <w:r>
              <w:rPr>
                <w:b/>
                <w:sz w:val="23"/>
              </w:rPr>
              <w:t>Définir le nom des fichiers</w:t>
            </w:r>
            <w:r>
              <w:br/>
              <w:t>Dans « Nom fichier (sans YYYY-MM_) », saisissez par exemple « quittance-loyer_EXEMPLE ». Le programme ajoutera automatiquement l’année et le mois.</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9</w:t>
            </w:r>
          </w:p>
        </w:tc>
        <w:tc>
          <w:tcPr>
            <w:tcW w:type="dxa" w:w="5100"/>
            <w:tcMar>
              <w:top w:w="90" w:type="dxa"/>
              <w:start w:w="140" w:type="dxa"/>
              <w:bottom w:w="90" w:type="dxa"/>
              <w:end w:w="140" w:type="dxa"/>
            </w:tcMar>
          </w:tcPr>
          <w:p>
            <w:r>
              <w:rPr>
                <w:b/>
                <w:sz w:val="23"/>
              </w:rPr>
              <w:t>Enregistrer</w:t>
            </w:r>
            <w:r>
              <w:br/>
              <w:t>Cliquez sur « Enregistrer ». Le logement apparaît ensuite dans la liste principale lorsque son historique permet de produire une quittance pour le mois choisi.</w:t>
            </w:r>
          </w:p>
        </w:tc>
      </w:tr>
    </w:tbl>
    <w:p/>
    <w:p>
      <w:pPr>
        <w:pStyle w:val="Heading1"/>
      </w:pPr>
      <w:r>
        <w:t>5. Modifier un locataire ou un loyer sans perdre l’historique</w:t>
      </w:r>
    </w:p>
    <w:p>
      <w:pPr>
        <w:pStyle w:val="Heading2"/>
      </w:pPr>
      <w:r>
        <w:t>5.1 Changement de locataire</w:t>
      </w:r>
    </w:p>
    <w:p>
      <w:r>
        <w:t>Lorsque vous modifiez le nom du locataire d’un logement existant, le logiciel demande si vous corrigez simplement un nom déjà enregistré ou s’il s’agit réellement d’un nouveau locataire.</w:t>
      </w:r>
    </w:p>
    <w:p>
      <w:pPr>
        <w:pStyle w:val="ListBullet"/>
        <w:spacing w:after="60"/>
      </w:pPr>
      <w:r>
        <w:t>Choisissez OUI si vous corrigez une faute de nom dans l’occupation existante.</w:t>
      </w:r>
    </w:p>
    <w:p>
      <w:pPr>
        <w:pStyle w:val="ListBullet"/>
        <w:spacing w:after="60"/>
      </w:pPr>
      <w:r>
        <w:t>Choisissez NON s’il s’agit d’un nouveau locataire. Le logiciel demande alors la date de début de la nouvelle occupation et ferme l’ancienne période si nécessaire.</w:t>
      </w:r>
    </w:p>
    <w:p>
      <w:pPr>
        <w:pStyle w:val="ListBullet"/>
        <w:spacing w:after="60"/>
      </w:pPr>
      <w:r>
        <w:t>Choisissez ANNULER pour revenir aux paramètres sans enregistrer cette modification.</w:t>
      </w:r>
    </w:p>
    <w:p>
      <w:pPr>
        <w:pStyle w:val="Heading2"/>
      </w:pPr>
      <w:r>
        <w:t>5.2 Même locataire qui revient</w:t>
      </w:r>
    </w:p>
    <w:p>
      <w:r>
        <w:t>Si un même locataire revient après une occupation terminée, le programme distingue la correction de l’ancienne période de la création d’une nouvelle occupation. Cela évite d’écraser l’historique précédent.</w:t>
      </w:r>
    </w:p>
    <w:p>
      <w:pPr>
        <w:pStyle w:val="Heading2"/>
      </w:pPr>
      <w:r>
        <w:t>5.3 Changement de loyer ou de charges</w:t>
      </w:r>
    </w:p>
    <w:p>
      <w:r>
        <w:t>Lorsqu’un loyer, des charges ou le mode de paiement changent, le logiciel vous demande de choisir entre une correction de la dernière version et la création d’une nouvelle version applicable à une date donnée.</w:t>
      </w:r>
    </w:p>
    <w:p>
      <w:pPr>
        <w:pStyle w:val="ListBullet"/>
        <w:spacing w:after="60"/>
      </w:pPr>
      <w:r>
        <w:t>Correction : modifie la dernière valeur déjà enregistrée.</w:t>
      </w:r>
    </w:p>
    <w:p>
      <w:pPr>
        <w:pStyle w:val="ListBullet"/>
        <w:spacing w:after="60"/>
      </w:pPr>
      <w:r>
        <w:t>Nouveau loyer : conserve l’historique antérieur et demande une nouvelle date d’effet.</w:t>
      </w:r>
    </w:p>
    <w:tbl>
      <w:tblPr>
        <w:tblW w:type="auto" w:w="0"/>
        <w:jc w:val="center"/>
        <w:tblLook w:firstColumn="1" w:firstRow="1" w:lastColumn="0" w:lastRow="0" w:noHBand="0" w:noVBand="1" w:val="04A0"/>
      </w:tblPr>
      <w:tblGrid>
        <w:gridCol w:w="10200"/>
      </w:tblGrid>
      <w:tr>
        <w:tc>
          <w:tcPr>
            <w:tcW w:type="dxa" w:w="10200"/>
            <w:shd w:fill="EAF2FB"/>
            <w:tcMar>
              <w:top w:w="160" w:type="dxa"/>
              <w:start w:w="180" w:type="dxa"/>
              <w:bottom w:w="160" w:type="dxa"/>
              <w:end w:w="180" w:type="dxa"/>
            </w:tcMar>
          </w:tcPr>
          <w:p>
            <w:r>
              <w:rPr>
                <w:b/>
                <w:color w:val="163F6E"/>
                <w:sz w:val="22"/>
              </w:rPr>
              <w:t>Conseil</w:t>
            </w:r>
            <w:r>
              <w:br/>
              <w:t>Pour une revalorisation normale du loyer, choisissez « nouveau loyer » afin de conserver l’ancien montant pour les quittances des mois précédents.</w:t>
            </w:r>
          </w:p>
        </w:tc>
      </w:tr>
    </w:tbl>
    <w:p/>
    <w:p>
      <w:pPr>
        <w:pStyle w:val="Heading2"/>
      </w:pPr>
      <w:r>
        <w:t>5.4 Désactiver un ancien logement</w:t>
      </w:r>
    </w:p>
    <w:p>
      <w:r>
        <w:t>Décochez simplement « Utiliser ». Le logement reste conservé localement, mais il n’est plus proposé dans les générations courantes. La suppression physique n’est pas proposée dans cette édition afin de protéger l’historique.</w:t>
      </w:r>
    </w:p>
    <w:p>
      <w:pPr>
        <w:pStyle w:val="Heading1"/>
      </w:pPr>
      <w:r>
        <w:t>6. Dossiers de sortie et noms de fichiers automatiques</w:t>
      </w:r>
    </w:p>
    <w:p>
      <w:r>
        <w:t>Chaque logement peut disposer de son propre dossier d’enregistrement. Cette fonction est utile lorsque vous classez les documents par appartement, immeuble ou locataire.</w:t>
      </w:r>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1</w:t>
            </w:r>
          </w:p>
        </w:tc>
        <w:tc>
          <w:tcPr>
            <w:tcW w:type="dxa" w:w="5100"/>
            <w:tcMar>
              <w:top w:w="90" w:type="dxa"/>
              <w:start w:w="140" w:type="dxa"/>
              <w:bottom w:w="90" w:type="dxa"/>
              <w:end w:w="140" w:type="dxa"/>
            </w:tcMar>
          </w:tcPr>
          <w:p>
            <w:r>
              <w:rPr>
                <w:b/>
                <w:sz w:val="23"/>
              </w:rPr>
              <w:t>Dossier par défaut</w:t>
            </w:r>
            <w:r>
              <w:br/>
              <w:t>Définissez un dossier général dans la partie supérieure de Paramètres.</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2</w:t>
            </w:r>
          </w:p>
        </w:tc>
        <w:tc>
          <w:tcPr>
            <w:tcW w:type="dxa" w:w="5100"/>
            <w:tcMar>
              <w:top w:w="90" w:type="dxa"/>
              <w:start w:w="140" w:type="dxa"/>
              <w:bottom w:w="90" w:type="dxa"/>
              <w:end w:w="140" w:type="dxa"/>
            </w:tcMar>
          </w:tcPr>
          <w:p>
            <w:r>
              <w:rPr>
                <w:b/>
                <w:sz w:val="23"/>
              </w:rPr>
              <w:t>Dossier propre à un logement</w:t>
            </w:r>
            <w:r>
              <w:br/>
              <w:t>Double-cliquez sur la cellule « Dossier Word/PDF » de la ligne concernée et choisissez son dossier.</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3</w:t>
            </w:r>
          </w:p>
        </w:tc>
        <w:tc>
          <w:tcPr>
            <w:tcW w:type="dxa" w:w="5100"/>
            <w:tcMar>
              <w:top w:w="90" w:type="dxa"/>
              <w:start w:w="140" w:type="dxa"/>
              <w:bottom w:w="90" w:type="dxa"/>
              <w:end w:w="140" w:type="dxa"/>
            </w:tcMar>
          </w:tcPr>
          <w:p>
            <w:r>
              <w:rPr>
                <w:b/>
                <w:sz w:val="23"/>
              </w:rPr>
              <w:t>Nom de base</w:t>
            </w:r>
            <w:r>
              <w:br/>
              <w:t>Saisissez uniquement le nom descriptif, sans année ni mois. Exemple : quittance-loyer_EXEMPLE.</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4</w:t>
            </w:r>
          </w:p>
        </w:tc>
        <w:tc>
          <w:tcPr>
            <w:tcW w:type="dxa" w:w="5100"/>
            <w:tcMar>
              <w:top w:w="90" w:type="dxa"/>
              <w:start w:w="140" w:type="dxa"/>
              <w:bottom w:w="90" w:type="dxa"/>
              <w:end w:w="140" w:type="dxa"/>
            </w:tcMar>
          </w:tcPr>
          <w:p>
            <w:r>
              <w:rPr>
                <w:b/>
                <w:sz w:val="23"/>
              </w:rPr>
              <w:t>Préfixe automatique</w:t>
            </w:r>
            <w:r>
              <w:br/>
              <w:t>Pour août 2026, le programme crée automatiquement 2026-08_quittance-loyer_EXEMPLE.docx et 2026-08_quittance-loyer_EXEMPLE.pdf.</w:t>
            </w:r>
          </w:p>
        </w:tc>
      </w:tr>
    </w:tbl>
    <w:p/>
    <w:tbl>
      <w:tblPr>
        <w:tblW w:type="auto" w:w="0"/>
        <w:jc w:val="center"/>
        <w:tblLook w:firstColumn="1" w:firstRow="1" w:lastColumn="0" w:lastRow="0" w:noHBand="0" w:noVBand="1" w:val="04A0"/>
      </w:tblPr>
      <w:tblGrid>
        <w:gridCol w:w="10200"/>
      </w:tblGrid>
      <w:tr>
        <w:tc>
          <w:tcPr>
            <w:tcW w:type="dxa" w:w="10200"/>
            <w:shd w:fill="EAF2FB"/>
            <w:tcMar>
              <w:top w:w="160" w:type="dxa"/>
              <w:start w:w="180" w:type="dxa"/>
              <w:bottom w:w="160" w:type="dxa"/>
              <w:end w:w="180" w:type="dxa"/>
            </w:tcMar>
          </w:tcPr>
          <w:p>
            <w:r>
              <w:rPr>
                <w:b/>
                <w:color w:val="163F6E"/>
                <w:sz w:val="22"/>
              </w:rPr>
              <w:t>Deux fichiers systématiquement conservés</w:t>
            </w:r>
            <w:r>
              <w:br/>
              <w:t>Chaque génération réussie conserve le fichier Word (.docx) et le fichier PDF (.pdf). Vous pouvez donc modifier ou archiver le Word tout en disposant immédiatement du PDF à transmettre.</w:t>
            </w:r>
          </w:p>
        </w:tc>
      </w:tr>
    </w:tbl>
    <w:p/>
    <w:p>
      <w:pPr>
        <w:pStyle w:val="Heading1"/>
      </w:pPr>
      <w:r>
        <w:t>7. Générer une ou plusieurs quittances</w:t>
      </w:r>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1</w:t>
            </w:r>
          </w:p>
        </w:tc>
        <w:tc>
          <w:tcPr>
            <w:tcW w:type="dxa" w:w="5100"/>
            <w:tcMar>
              <w:top w:w="90" w:type="dxa"/>
              <w:start w:w="140" w:type="dxa"/>
              <w:bottom w:w="90" w:type="dxa"/>
              <w:end w:w="140" w:type="dxa"/>
            </w:tcMar>
          </w:tcPr>
          <w:p>
            <w:r>
              <w:rPr>
                <w:b/>
                <w:sz w:val="23"/>
              </w:rPr>
              <w:t>Choisir le mois</w:t>
            </w:r>
            <w:r>
              <w:br/>
              <w:t>Sélectionnez le mois et l’année concernés.</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2</w:t>
            </w:r>
          </w:p>
        </w:tc>
        <w:tc>
          <w:tcPr>
            <w:tcW w:type="dxa" w:w="5100"/>
            <w:tcMar>
              <w:top w:w="90" w:type="dxa"/>
              <w:start w:w="140" w:type="dxa"/>
              <w:bottom w:w="90" w:type="dxa"/>
              <w:end w:w="140" w:type="dxa"/>
            </w:tcMar>
          </w:tcPr>
          <w:p>
            <w:r>
              <w:rPr>
                <w:b/>
                <w:sz w:val="23"/>
              </w:rPr>
              <w:t>Choisir la date du paiement</w:t>
            </w:r>
            <w:r>
              <w:br/>
              <w:t>Indiquez la date réelle de règlement. Le programme interdit une date future.</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3</w:t>
            </w:r>
          </w:p>
        </w:tc>
        <w:tc>
          <w:tcPr>
            <w:tcW w:type="dxa" w:w="5100"/>
            <w:tcMar>
              <w:top w:w="90" w:type="dxa"/>
              <w:start w:w="140" w:type="dxa"/>
              <w:bottom w:w="90" w:type="dxa"/>
              <w:end w:w="140" w:type="dxa"/>
            </w:tcMar>
          </w:tcPr>
          <w:p>
            <w:r>
              <w:rPr>
                <w:b/>
                <w:sz w:val="23"/>
              </w:rPr>
              <w:t>Vérifier les lignes</w:t>
            </w:r>
            <w:r>
              <w:br/>
              <w:t>Les logements complets sont proposés automatiquement. Décochez ceux que vous ne souhaitez pas générer.</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4</w:t>
            </w:r>
          </w:p>
        </w:tc>
        <w:tc>
          <w:tcPr>
            <w:tcW w:type="dxa" w:w="5100"/>
            <w:tcMar>
              <w:top w:w="90" w:type="dxa"/>
              <w:start w:w="140" w:type="dxa"/>
              <w:bottom w:w="90" w:type="dxa"/>
              <w:end w:w="140" w:type="dxa"/>
            </w:tcMar>
          </w:tcPr>
          <w:p>
            <w:r>
              <w:rPr>
                <w:b/>
                <w:sz w:val="23"/>
              </w:rPr>
              <w:t>Lancer</w:t>
            </w:r>
            <w:r>
              <w:br/>
              <w:t>Cliquez sur « GÉNÉRER MES QUITTANCES ». Une fenêtre de progression reste réactive pendant le travail de Microsoft Word.</w:t>
            </w:r>
          </w:p>
        </w:tc>
      </w:tr>
    </w:tbl>
    <w:p/>
    <w:tbl>
      <w:tblPr>
        <w:tblW w:type="auto" w:w="0"/>
        <w:jc w:val="center"/>
        <w:tblLayout w:type="fixed"/>
        <w:tblLook w:firstColumn="1" w:firstRow="1" w:lastColumn="0" w:lastRow="0" w:noHBand="0" w:noVBand="1" w:val="04A0"/>
      </w:tblPr>
      <w:tblGrid>
        <w:gridCol w:w="794"/>
        <w:gridCol w:w="8731"/>
      </w:tblGrid>
      <w:tr>
        <w:tc>
          <w:tcPr>
            <w:tcW w:type="dxa" w:w="5100"/>
            <w:shd w:fill="1F5AA6"/>
            <w:tcMar>
              <w:top w:w="90" w:type="dxa"/>
              <w:start w:w="80" w:type="dxa"/>
              <w:bottom w:w="90" w:type="dxa"/>
              <w:end w:w="80" w:type="dxa"/>
            </w:tcMar>
            <w:vAlign w:val="center"/>
          </w:tcPr>
          <w:p>
            <w:pPr>
              <w:jc w:val="center"/>
            </w:pPr>
            <w:r>
              <w:rPr>
                <w:b/>
                <w:color w:val="FFFFFF"/>
                <w:sz w:val="32"/>
              </w:rPr>
              <w:t>5</w:t>
            </w:r>
          </w:p>
        </w:tc>
        <w:tc>
          <w:tcPr>
            <w:tcW w:type="dxa" w:w="5100"/>
            <w:tcMar>
              <w:top w:w="90" w:type="dxa"/>
              <w:start w:w="140" w:type="dxa"/>
              <w:bottom w:w="90" w:type="dxa"/>
              <w:end w:w="140" w:type="dxa"/>
            </w:tcMar>
          </w:tcPr>
          <w:p>
            <w:r>
              <w:rPr>
                <w:b/>
                <w:sz w:val="23"/>
              </w:rPr>
              <w:t>Consulter les résultats</w:t>
            </w:r>
            <w:r>
              <w:br/>
              <w:t>Après succès, le dossier de sortie est ouvert. Les fichiers Word et PDF portent le préfixe année-mois correspondant à la période.</w:t>
            </w:r>
          </w:p>
        </w:tc>
      </w:tr>
    </w:tbl>
    <w:p/>
    <w:p>
      <w:pPr>
        <w:pStyle w:val="Heading1"/>
      </w:pPr>
      <w:r>
        <w:t>8. Préparer les e-mails avec les quittances</w:t>
      </w:r>
    </w:p>
    <w:p>
      <w:r>
        <w:t>Le bouton 2 — MAILS + QUITTANCES travaille uniquement à partir du dernier lot de PDF réellement généré pour le mois affiché. Il ne recherche pas approximativement des fichiers anciens dans vos dossiers : cette règle limite le risque de joindre la mauvaise quittance au mauvais locataire.</w:t>
      </w:r>
    </w:p>
    <w:p>
      <w:pPr>
        <w:jc w:val="center"/>
      </w:pPr>
      <w:r>
        <w:drawing>
          <wp:inline xmlns:a="http://schemas.openxmlformats.org/drawingml/2006/main" xmlns:pic="http://schemas.openxmlformats.org/drawingml/2006/picture">
            <wp:extent cx="6492240" cy="3083814"/>
            <wp:docPr id="5" name="Picture 5"/>
            <wp:cNvGraphicFramePr>
              <a:graphicFrameLocks noChangeAspect="1"/>
            </wp:cNvGraphicFramePr>
            <a:graphic>
              <a:graphicData uri="http://schemas.openxmlformats.org/drawingml/2006/picture">
                <pic:pic>
                  <pic:nvPicPr>
                    <pic:cNvPr id="0" name="workflow-mails.png"/>
                    <pic:cNvPicPr/>
                  </pic:nvPicPr>
                  <pic:blipFill>
                    <a:blip r:embed="rId15"/>
                    <a:stretch>
                      <a:fillRect/>
                    </a:stretch>
                  </pic:blipFill>
                  <pic:spPr>
                    <a:xfrm>
                      <a:off x="0" y="0"/>
                      <a:ext cx="6492240" cy="3083814"/>
                    </a:xfrm>
                    <a:prstGeom prst="rect"/>
                  </pic:spPr>
                </pic:pic>
              </a:graphicData>
            </a:graphic>
          </wp:inline>
        </w:drawing>
      </w:r>
    </w:p>
    <w:p>
      <w:pPr>
        <w:pStyle w:val="DSCaption"/>
        <w:jc w:val="center"/>
      </w:pPr>
      <w:r>
        <w:t>Flux conseillé : générer, préparer les messages, vérifier, puis envoyer manuellement.</w:t>
      </w:r>
    </w:p>
    <w:p>
      <w:pPr>
        <w:pStyle w:val="Heading2"/>
      </w:pPr>
      <w:r>
        <w:t>8.1 Renseigner l’adresse e-mail du locataire</w:t>
      </w:r>
    </w:p>
    <w:p>
      <w:r>
        <w:t>Ouvrez Paramètres. Une colonne « E-mail locataire » est disponible pour chaque occupation. L’adresse est liée au locataire et à sa période d’occupation, et non simplement au logement. Ainsi, lorsqu’un logement change de locataire, l’historique conserve la bonne adresse e-mail pour chaque période.</w:t>
      </w:r>
    </w:p>
    <w:p>
      <w:r>
        <w:t>L’adresse e-mail n’est pas obligatoire pour générer une quittance. Elle devient nécessaire uniquement pour préparer le message correspondant. Si elle manque ou est invalide, le logiciel ignore ce locataire et vous en informe.</w:t>
      </w:r>
    </w:p>
    <w:p>
      <w:pPr>
        <w:pStyle w:val="Heading2"/>
      </w:pPr>
      <w:r>
        <w:t>8.2 Personnaliser l’objet et le message</w:t>
      </w:r>
    </w:p>
    <w:p>
      <w:r>
        <w:t>Dans Paramètres, cliquez sur « Paramètres e-mails ». Vous pouvez choisir le mode de préparation, décider si le nom du locataire doit apparaître après « Bonjour », sélectionner un préfixe d'adresse pour l'objet, puis personnaliser librement l'objet et le corps du message. Les variables sont remplacées automatiquement au moment de créer les brouillons.</w:t>
      </w:r>
    </w:p>
    <w:p>
      <w:pPr>
        <w:jc w:val="center"/>
      </w:pPr>
      <w:r>
        <w:drawing>
          <wp:inline xmlns:a="http://schemas.openxmlformats.org/drawingml/2006/main" xmlns:pic="http://schemas.openxmlformats.org/drawingml/2006/picture">
            <wp:extent cx="6400800" cy="3968496"/>
            <wp:docPr id="6" name="Picture 6"/>
            <wp:cNvGraphicFramePr>
              <a:graphicFrameLocks noChangeAspect="1"/>
            </wp:cNvGraphicFramePr>
            <a:graphic>
              <a:graphicData uri="http://schemas.openxmlformats.org/drawingml/2006/picture">
                <pic:pic>
                  <pic:nvPicPr>
                    <pic:cNvPr id="0" name="parametres-mails.png"/>
                    <pic:cNvPicPr/>
                  </pic:nvPicPr>
                  <pic:blipFill>
                    <a:blip r:embed="rId16"/>
                    <a:stretch>
                      <a:fillRect/>
                    </a:stretch>
                  </pic:blipFill>
                  <pic:spPr>
                    <a:xfrm>
                      <a:off x="0" y="0"/>
                      <a:ext cx="6400800" cy="3968496"/>
                    </a:xfrm>
                    <a:prstGeom prst="rect"/>
                  </pic:spPr>
                </pic:pic>
              </a:graphicData>
            </a:graphic>
          </wp:inline>
        </w:drawing>
      </w:r>
    </w:p>
    <w:p>
      <w:pPr>
        <w:pStyle w:val="DSCaption"/>
        <w:jc w:val="center"/>
      </w:pPr>
      <w:r>
        <w:t>Exemple des paramètres e-mails et des variables disponibles.</w:t>
      </w:r>
    </w:p>
    <w:p>
      <w:r>
        <w:t>Variables disponibles : {{LOCATAIRE}}, {{MOIS}}, {{MOIS_TITRE}}, {{ANNEE}}, {{ADRESSE_LOGEMENT}} et {{NOM_FICHIER_PDF}}.</w:t>
      </w:r>
    </w:p>
    <w:p>
      <w:r>
        <w:t>Objet recommandé pour faciliter le tri : « {{RUE_NUMERO_VILLE}} — Quittance de loyer — {{MOIS_TITRE}} {{ANNEE}} ». Pour « 15 rue de l’Exemple 75000 PARIS », le début de l'objet devient par exemple « rue de l’Exemple 15 — PARIS ». L'objet d'un e-mail est du texte simple : il n'est pas possible de mettre uniquement la rue en gras.</w:t>
      </w:r>
    </w:p>
    <w:p>
      <w:pPr>
        <w:pStyle w:val="Heading2"/>
      </w:pPr>
      <w:r>
        <w:t>8.3 Avec Outlook classique</w:t>
      </w:r>
    </w:p>
    <w:p>
      <w:r>
        <w:t>Le mode Outlook classique crée une fenêtre de message distincte pour chaque quittance : le bon destinataire, le bon objet, le texte personnalisé et le bon PDF sont renseignés automatiquement. Le message est affiché avant l’insertion de votre texte afin qu’Outlook puisse charger sa signature habituelle ; le texte du logiciel est ensuite placé au-dessus de cette signature.</w:t>
      </w:r>
    </w:p>
    <w:p>
      <w:r>
        <w:t>Le logiciel ne contient aucun appel d’envoi automatique. Les messages restent ouverts afin que vous puissiez les relire et cliquer vous-même sur Envoyer.</w:t>
      </w:r>
    </w:p>
    <w:p>
      <w:pPr>
        <w:pStyle w:val="Heading2"/>
      </w:pPr>
      <w:r>
        <w:t>8.4 Avec Gmail, le nouvel Outlook ou un autre client</w:t>
      </w:r>
    </w:p>
    <w:p>
      <w:r>
        <w:t>En mode « messagerie par défaut », le programme peut ouvrir un nouveau message avec le destinataire, l’objet et le texte. En revanche, le protocole standard utilisé par Windows ne garantit pas l’ajout automatique d’un fichier local. Le logiciel vous prévient donc lorsque le PDF doit être joint manuellement.</w:t>
      </w:r>
    </w:p>
    <w:p>
      <w:pPr>
        <w:pStyle w:val="Heading2"/>
      </w:pPr>
      <w:r>
        <w:t>8.5 Sécurité du lot</w:t>
      </w:r>
    </w:p>
    <w:p>
      <w:r>
        <w:t>Dès que vous relancez une nouvelle génération, le lot e-mail précédent est invalidé. Le bouton 2 n’utilise que les PDF du nouveau lot. Avant de préparer un message, l’application vérifie également que le locataire et le logement n’ont pas changé depuis la génération. En cas de différence, elle demande de régénérer la quittance plutôt que de risquer une mauvaise pièce jointe.</w:t>
      </w:r>
    </w:p>
    <w:p>
      <w:pPr>
        <w:pStyle w:val="Heading1"/>
      </w:pPr>
      <w:r>
        <w:t>9. Dépannage et récupération</w:t>
      </w:r>
    </w:p>
    <w:p>
      <w:r>
        <w:t>La version publique inclut des outils simples pour récupérer une application bloquée sans arrêter tous les processus PowerShell du PC.</w:t>
      </w:r>
    </w:p>
    <w:p>
      <w:pPr>
        <w:pStyle w:val="ListBullet"/>
        <w:spacing w:after="60"/>
      </w:pPr>
      <w:r>
        <w:t>ARRETER-APPLICATION.cmd : ferme uniquement les processus identifiés comme appartenant à Delta-Sierra Quittances.</w:t>
      </w:r>
    </w:p>
    <w:p>
      <w:pPr>
        <w:pStyle w:val="ListBullet"/>
        <w:spacing w:after="60"/>
      </w:pPr>
      <w:r>
        <w:t>REPARER-ET-RELANCER.cmd : ferme une instance bloquée, vérifie sa disparition puis relance l’application.</w:t>
      </w:r>
    </w:p>
    <w:p>
      <w:pPr>
        <w:pStyle w:val="ListBullet"/>
        <w:spacing w:after="60"/>
      </w:pPr>
      <w:r>
        <w:t>SUPPORT-TECHNIQUE : contient un outil permettant d’afficher l’état enregistré de l’application et les processus détectés.</w:t>
      </w:r>
    </w:p>
    <w:p>
      <w:pPr>
        <w:pStyle w:val="Heading2"/>
      </w:pPr>
      <w:r>
        <w:t>9.1 L’application indique qu’elle est déjà ouverte</w:t>
      </w:r>
    </w:p>
    <w:p>
      <w:r>
        <w:t>Une instance PowerShell peut être restée active après un blocage. Utilisez d’abord REPARER-ET-RELANCER.cmd. Le programme possède également un mécanisme de récupération d’instance basé sur le PID et l’heure de création du processus.</w:t>
      </w:r>
    </w:p>
    <w:p>
      <w:pPr>
        <w:pStyle w:val="Heading2"/>
      </w:pPr>
      <w:r>
        <w:t>9.2 Microsoft Word se bloque pendant la génération</w:t>
      </w:r>
    </w:p>
    <w:p>
      <w:r>
        <w:t>La génération est exécutée dans un processus séparé afin que la fenêtre principale reste utilisable. Une étape Word qui ne répond plus est interrompue automatiquement après le délai de sécurité prévu par l’application.</w:t>
      </w:r>
    </w:p>
    <w:tbl>
      <w:tblPr>
        <w:tblW w:type="auto" w:w="0"/>
        <w:jc w:val="center"/>
        <w:tblLook w:firstColumn="1" w:firstRow="1" w:lastColumn="0" w:lastRow="0" w:noHBand="0" w:noVBand="1" w:val="04A0"/>
      </w:tblPr>
      <w:tblGrid>
        <w:gridCol w:w="10200"/>
      </w:tblGrid>
      <w:tr>
        <w:tc>
          <w:tcPr>
            <w:tcW w:type="dxa" w:w="10200"/>
            <w:shd w:fill="FFF4DB"/>
            <w:tcMar>
              <w:top w:w="160" w:type="dxa"/>
              <w:start w:w="180" w:type="dxa"/>
              <w:bottom w:w="160" w:type="dxa"/>
              <w:end w:w="180" w:type="dxa"/>
            </w:tcMar>
          </w:tcPr>
          <w:p>
            <w:r>
              <w:rPr>
                <w:b/>
                <w:color w:val="163F6E"/>
                <w:sz w:val="22"/>
              </w:rPr>
              <w:t>Avant de retenter</w:t>
            </w:r>
            <w:r>
              <w:br/>
              <w:t>Fermez les documents Word inutiles, vérifiez que Microsoft Word fonctionne normalement en l’ouvrant manuellement, puis relancez une seule quittance pour isoler le problème.</w:t>
            </w:r>
          </w:p>
        </w:tc>
      </w:tr>
    </w:tbl>
    <w:p/>
    <w:p>
      <w:pPr>
        <w:pStyle w:val="Heading1"/>
      </w:pPr>
      <w:r>
        <w:t>10. Données locales et confidentialité</w:t>
      </w:r>
    </w:p>
    <w:p>
      <w:r>
        <w:t>Les paramètres de travail de l’application sont stockés localement dans le profil Windows, notamment sous :</w:t>
      </w:r>
    </w:p>
    <w:p>
      <w:pPr>
        <w:jc w:val="center"/>
      </w:pPr>
      <w:r>
        <w:rPr>
          <w:rFonts w:ascii="Consolas" w:hAnsi="Consolas"/>
          <w:b/>
          <w:sz w:val="20"/>
        </w:rPr>
        <w:t>%LOCALAPPDATA%\Delta-Sierra\QuittanceMinimalPublic</w:t>
      </w:r>
    </w:p>
    <w:p>
      <w:r>
        <w:t>Le ZIP public ne contient aucune donnée réelle de bailleur ou de locataire. Aucun service cloud n’est nécessaire pour générer les quittances. Outlook classique est facultatif et sert uniquement à préparer les e-mails avec PDF joint.</w:t>
      </w:r>
    </w:p>
    <w:p>
      <w:pPr>
        <w:pStyle w:val="Heading1"/>
      </w:pPr>
      <w:r>
        <w:t>11. Compatibilité, responsabilité et édition</w:t>
      </w:r>
    </w:p>
    <w:p>
      <w:pPr>
        <w:pStyle w:val="Heading2"/>
      </w:pPr>
      <w:r>
        <w:t>Compatibilité connue</w:t>
      </w:r>
    </w:p>
    <w:p>
      <w:pPr>
        <w:pStyle w:val="ListBullet"/>
        <w:spacing w:after="60"/>
      </w:pPr>
      <w:r>
        <w:t>Environnement testé : Windows 11 x64. La préparation automatique des pièces jointes a été conçue pour Outlook classique de Microsoft Office ; les autres clients de messagerie utilisent un mode de compatibilité limité.</w:t>
      </w:r>
    </w:p>
    <w:p>
      <w:pPr>
        <w:pStyle w:val="ListBullet"/>
        <w:spacing w:after="60"/>
      </w:pPr>
      <w:r>
        <w:t>Microsoft Word de bureau est nécessaire pour produire les fichiers Word et PDF via l’automatisation Word.</w:t>
      </w:r>
    </w:p>
    <w:p>
      <w:pPr>
        <w:pStyle w:val="ListBullet"/>
        <w:spacing w:after="60"/>
      </w:pPr>
      <w:r>
        <w:t>Le fonctionnement sur d’autres systèmes ou architectures n’est pas garanti.</w:t>
      </w:r>
    </w:p>
    <w:p>
      <w:pPr>
        <w:pStyle w:val="Heading2"/>
      </w:pPr>
      <w:r>
        <w:t>Édition</w:t>
      </w:r>
    </w:p>
    <w:p>
      <w:r>
        <w:t>Cette archive constitue l’édition PUBLIC de démonstration.</w:t>
      </w:r>
    </w:p>
    <w:p>
      <w:r>
        <w:t xml:space="preserve">Logiciel distribué gratuitement. Données : </w:t>
      </w:r>
      <w:r>
        <w:rPr>
          <w:b/>
        </w:rPr>
        <w:t>100 % fictives</w:t>
      </w:r>
    </w:p>
    <w:p>
      <w:pPr>
        <w:pStyle w:val="Heading2"/>
      </w:pPr>
      <w:r>
        <w:t>Avertissement</w:t>
      </w:r>
    </w:p>
    <w:p>
      <w:r>
        <w:t>Cette édition est fournie telle quelle. Il appartient à chaque utilisateur de vérifier les informations figurant sur ses quittances avant de les transmettre, notamment l’identité des parties, l’adresse du logement, la période, les montants, la date de paiement et les coordonnées du bailleur.</w:t>
      </w:r>
    </w:p>
    <w:p>
      <w:pPr>
        <w:pStyle w:val="Heading1"/>
      </w:pPr>
      <w:r>
        <w:t>12. Mémo en une minute</w:t>
      </w:r>
    </w:p>
    <w:p>
      <w:pPr/>
      <w:r>
        <w:t>Après la génération : cliquez sur 2 — MAILS + QUITTANCES, vérifiez chaque message et sa pièce jointe, puis cliquez vous-même sur Envoyer.</w:t>
      </w:r>
    </w:p>
    <w:tbl>
      <w:tblPr>
        <w:tblStyle w:val="TableGrid"/>
        <w:tblW w:type="auto" w:w="0"/>
        <w:jc w:val="center"/>
        <w:tblLook w:firstColumn="1" w:firstRow="1" w:lastColumn="0" w:lastRow="0" w:noHBand="0" w:noVBand="1" w:val="04A0"/>
      </w:tblPr>
      <w:tblGrid>
        <w:gridCol w:w="5100"/>
        <w:gridCol w:w="5100"/>
      </w:tblGrid>
      <w:tr>
        <w:tc>
          <w:tcPr>
            <w:tcW w:type="dxa" w:w="5100"/>
            <w:shd w:fill="D9E8F5"/>
          </w:tcPr>
          <w:p>
            <w:r>
              <w:rPr>
                <w:b/>
              </w:rPr>
              <w:t>Action</w:t>
            </w:r>
          </w:p>
        </w:tc>
        <w:tc>
          <w:tcPr>
            <w:tcW w:type="dxa" w:w="5100"/>
            <w:shd w:fill="D9E8F5"/>
          </w:tcPr>
          <w:p>
            <w:r>
              <w:rPr>
                <w:b/>
              </w:rPr>
              <w:t>À faire</w:t>
            </w:r>
          </w:p>
        </w:tc>
      </w:tr>
      <w:tr>
        <w:tc>
          <w:tcPr>
            <w:tcW w:type="dxa" w:w="5100"/>
          </w:tcPr>
          <w:p>
            <w:r>
              <w:t>Démarrer</w:t>
            </w:r>
          </w:p>
        </w:tc>
        <w:tc>
          <w:tcPr>
            <w:tcW w:type="dxa" w:w="5100"/>
          </w:tcPr>
          <w:p>
            <w:r>
              <w:t>Double-cliquer sur Delta-Sierra-Quittances.exe.</w:t>
            </w:r>
          </w:p>
        </w:tc>
      </w:tr>
      <w:tr>
        <w:tc>
          <w:tcPr>
            <w:tcW w:type="dxa" w:w="5100"/>
          </w:tcPr>
          <w:p>
            <w:r>
              <w:t>Configurer</w:t>
            </w:r>
          </w:p>
        </w:tc>
        <w:tc>
          <w:tcPr>
            <w:tcW w:type="dxa" w:w="5100"/>
          </w:tcPr>
          <w:p>
            <w:r>
              <w:t>Paramètres → bailleur → signature → logement → locataire → loyer → dossier.</w:t>
            </w:r>
          </w:p>
        </w:tc>
      </w:tr>
      <w:tr>
        <w:tc>
          <w:tcPr>
            <w:tcW w:type="dxa" w:w="5100"/>
          </w:tcPr>
          <w:p>
            <w:r>
              <w:t>Générer</w:t>
            </w:r>
          </w:p>
        </w:tc>
        <w:tc>
          <w:tcPr>
            <w:tcW w:type="dxa" w:w="5100"/>
          </w:tcPr>
          <w:p>
            <w:r>
              <w:t>Choisir le mois et la date de paiement → cocher les lignes → GÉNÉRER MES QUITTANCES.</w:t>
            </w:r>
          </w:p>
        </w:tc>
      </w:tr>
      <w:tr>
        <w:tc>
          <w:tcPr>
            <w:tcW w:type="dxa" w:w="5100"/>
          </w:tcPr>
          <w:p>
            <w:r>
              <w:t>Résultat</w:t>
            </w:r>
          </w:p>
        </w:tc>
        <w:tc>
          <w:tcPr>
            <w:tcW w:type="dxa" w:w="5100"/>
          </w:tcPr>
          <w:p>
            <w:r>
              <w:t>Un DOCX et un PDF par quittance, avec année et mois ajoutés automatiquement au nom.</w:t>
            </w:r>
          </w:p>
        </w:tc>
      </w:tr>
      <w:tr>
        <w:tc>
          <w:tcPr>
            <w:tcW w:type="dxa" w:w="5100"/>
          </w:tcPr>
          <w:p>
            <w:r>
              <w:t>Bloqué ?</w:t>
            </w:r>
          </w:p>
        </w:tc>
        <w:tc>
          <w:tcPr>
            <w:tcW w:type="dxa" w:w="5100"/>
          </w:tcPr>
          <w:p>
            <w:r>
              <w:t>Utiliser REPARER-ET-RELANCER.cmd.</w:t>
            </w:r>
          </w:p>
        </w:tc>
      </w:tr>
      <w:tr>
        <w:tc>
          <w:tcPr>
            <w:tcW w:type="dxa" w:w="5100"/>
          </w:tcPr>
          <w:p>
            <w:r>
              <w:t>E-mails</w:t>
            </w:r>
          </w:p>
        </w:tc>
        <w:tc>
          <w:tcPr>
            <w:tcW w:type="dxa" w:w="5100"/>
          </w:tcPr>
          <w:p>
            <w:r>
              <w:t>Cliquer sur 2 — MAILS + QUITTANCES → vérifier destinataire, PDF et message → cliquer soi-même sur Envoyer.</w:t>
            </w:r>
          </w:p>
        </w:tc>
      </w:tr>
    </w:tbl>
    <w:p/>
    <w:p>
      <w:pPr>
        <w:pStyle w:val="Heading2"/>
      </w:pPr>
      <w:r>
        <w:t>Paramétrage avancé des e-mails — RC6.5</w:t>
      </w:r>
    </w:p>
    <w:p>
      <w:r>
        <w:t>Le réglage « Ajouter le nom du locataire après Bonjour » permet de choisir entre « Bonjour, » et « Bonjour {{LOCATAIRE}}, ». Cette option évite les formulations trop formelles lorsque le nom enregistré contient une civilité ou un ordre nom/prénom peu naturel.</w:t>
      </w:r>
    </w:p>
    <w:p>
      <w:r>
        <w:t>Pour l’objet, plusieurs présentations sont proposées : rue + numéro + ville, rue + numéro, numéro + rue, numéro + rue + ville, adresse complète, aucun préfixe ou objet entièrement personnalisé. Le format rue + numéro + ville est recommandé pour retrouver et trier rapidement les messages envoyés.</w:t>
      </w:r>
    </w:p>
    <w:sectPr>
      <w:footerReference w:type="default" r:id="rId9"/>
      <w:pgSz w:w="12240" w:h="15840"/>
      <w:pgMar w:top="964" w:right="1020" w:bottom="907"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Delta-Sierra Quittances • Édition PUBLIC • données fictives uniquement</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7365D"/>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1F5AA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516E9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SCaption">
    <w:name w:val="DS Caption"/>
    <w:rPr>
      <w:rFonts w:ascii="Aptos" w:hAnsi="Aptos"/>
      <w:color w:val="5A5A5A"/>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example.invalid" TargetMode="External"/><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Delta-Sierra Quittances — Guide utilisateur</dc:title>
  <dc:subject>Guide public du logiciel gratuit Delta-Sierra Quittances</dc:subject>
  <dc:creator/>
  <cp:keywords>quittance, loyer, bailleur, Windows, Delta-Sierra</cp:keywords>
  <dc:description>Documentation publique — aucune donnée locative réelle.</dc:description>
  <cp:lastModifiedBy/>
  <cp:revision>1</cp:revision>
  <dcterms:created xsi:type="dcterms:W3CDTF">2013-12-23T23:15:00Z</dcterms:created>
  <dcterms:modified xsi:type="dcterms:W3CDTF">2013-12-23T23:15:00Z</dcterms:modified>
  <cp:category/>
</cp:coreProperties>
</file>