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drawing>
          <wp:inline xmlns:a="http://schemas.openxmlformats.org/drawingml/2006/main" xmlns:pic="http://schemas.openxmlformats.org/drawingml/2006/picture">
            <wp:extent cx="6192000" cy="1935000"/>
            <wp:docPr id="1" name="Picture 1"/>
            <wp:cNvGraphicFramePr>
              <a:graphicFrameLocks noChangeAspect="1"/>
            </wp:cNvGraphicFramePr>
            <a:graphic>
              <a:graphicData uri="http://schemas.openxmlformats.org/drawingml/2006/picture">
                <pic:pic>
                  <pic:nvPicPr>
                    <pic:cNvPr id="0" name="alerte_agenda_banner_v08.png"/>
                    <pic:cNvPicPr/>
                  </pic:nvPicPr>
                  <pic:blipFill>
                    <a:blip r:embed="rId11"/>
                    <a:stretch>
                      <a:fillRect/>
                    </a:stretch>
                  </pic:blipFill>
                  <pic:spPr>
                    <a:xfrm>
                      <a:off x="0" y="0"/>
                      <a:ext cx="6192000" cy="1935000"/>
                    </a:xfrm>
                    <a:prstGeom prst="rect"/>
                  </pic:spPr>
                </pic:pic>
              </a:graphicData>
            </a:graphic>
          </wp:inline>
        </w:drawing>
      </w:r>
    </w:p>
    <w:p>
      <w:pPr>
        <w:spacing w:before="200" w:after="60" w:line="240" w:lineRule="auto"/>
        <w:jc w:val="center"/>
      </w:pPr>
      <w:r>
        <w:rPr>
          <w:rFonts w:ascii="Noto Sans" w:hAnsi="Noto Sans"/>
          <w:b/>
          <w:i w:val="0"/>
          <w:color w:val="123A5A"/>
          <w:sz w:val="36"/>
        </w:rPr>
        <w:t>NOTICE D’INSTALLATION, DE CONFIGURATION ET D’UTILISATION</w:t>
      </w:r>
    </w:p>
    <w:p>
      <w:pPr>
        <w:spacing w:before="0" w:after="300" w:line="240" w:lineRule="auto"/>
        <w:jc w:val="center"/>
      </w:pPr>
      <w:r>
        <w:rPr>
          <w:color w:val="415878"/>
          <w:sz w:val="24"/>
        </w:rPr>
        <w:t>Synchronisation Google Agenda • alertes plein écran • horloge animée • vingt sons intégrés • alarmes multiples</w:t>
      </w:r>
    </w:p>
    <w:tbl>
      <w:tblPr>
        <w:tblW w:type="auto" w:w="0"/>
        <w:jc w:val="center"/>
        <w:tblLayout w:type="fixed"/>
        <w:tblLook w:firstColumn="1" w:firstRow="1" w:lastColumn="0" w:lastRow="0" w:noHBand="0" w:noVBand="1" w:val="04A0"/>
      </w:tblPr>
      <w:tblGrid>
        <w:gridCol w:w="9468"/>
      </w:tblGrid>
      <w:tr>
        <w:trPr>
          <w:cantSplit/>
        </w:trPr>
        <w:tc>
          <w:tcPr>
            <w:tcW w:type="dxa" w:w="9978"/>
            <w:shd w:fill="FFF4DC"/>
            <w:tcBorders>
              <w:top w:val="single" w:sz="4" w:color="FFF4DC"/>
              <w:left w:val="single" w:sz="18" w:color="E69F00"/>
              <w:bottom w:val="single" w:sz="4" w:color="FFF4DC"/>
              <w:right w:val="single" w:sz="4" w:color="FFF4DC"/>
            </w:tcBorders>
            <w:vAlign w:val="center"/>
          </w:tcPr>
          <w:p>
            <w:pPr>
              <w:spacing w:before="20" w:after="40" w:line="252" w:lineRule="auto"/>
            </w:pPr>
            <w:r>
              <w:t>Nouveauté V1.0</w:t>
            </w:r>
          </w:p>
          <w:p>
            <w:pPr>
              <w:spacing w:before="20" w:after="40" w:line="252" w:lineRule="auto"/>
            </w:pPr>
            <w:r>
              <w:t>La fenêtre plein écran affiche désormais une horloge numérique et une horloge analogique animée. La durée musicale se règle en secondes, minutes ou heures ; la dernière alarme prend le relais, tandis que les alarmes encore actives restent signalées dans la colonne de droite. Vingt sons intégrés complètent les quatre fichiers historiques conservés par défaut.</w:t>
            </w:r>
          </w:p>
        </w:tc>
      </w:tr>
    </w:tbl>
    <w:p>
      <w:pPr>
        <w:spacing w:after="0"/>
      </w:pPr>
    </w:p>
    <w:p>
      <w:pPr>
        <w:spacing w:before="360" w:after="0" w:line="240" w:lineRule="auto"/>
        <w:jc w:val="center"/>
      </w:pPr>
      <w:r>
        <w:rPr>
          <w:rFonts w:ascii="Noto Sans" w:hAnsi="Noto Sans"/>
          <w:b w:val="0"/>
          <w:i w:val="0"/>
          <w:color w:val="5D6B78"/>
          <w:sz w:val="19"/>
        </w:rPr>
        <w:t>Édition du 30 juillet 2026</w:t>
      </w:r>
    </w:p>
    <w:p>
      <w:r>
        <w:br w:type="page"/>
      </w:r>
    </w:p>
    <w:p>
      <w:pPr>
        <w:pStyle w:val="Heading1"/>
        <w:keepNext/>
      </w:pPr>
      <w:r>
        <w:t>Sommaire</w:t>
      </w:r>
    </w:p>
    <w:p>
      <w:pPr>
        <w:pStyle w:val="ListBullet"/>
      </w:pPr>
      <w:r>
        <w:rPr>
          <w:rFonts w:ascii="Noto Sans" w:hAnsi="Noto Sans"/>
          <w:b w:val="0"/>
          <w:i w:val="0"/>
          <w:sz w:val="21"/>
        </w:rPr>
        <w:t>1. Installation ou mise à jour</w:t>
      </w:r>
    </w:p>
    <w:p>
      <w:pPr>
        <w:pStyle w:val="ListBullet"/>
      </w:pPr>
      <w:r>
        <w:rPr>
          <w:rFonts w:ascii="Noto Sans" w:hAnsi="Noto Sans"/>
          <w:b w:val="0"/>
          <w:i w:val="0"/>
          <w:sz w:val="21"/>
        </w:rPr>
        <w:t>2. Trouver le bon lien Google Agenda</w:t>
      </w:r>
    </w:p>
    <w:p>
      <w:pPr>
        <w:pStyle w:val="ListBullet"/>
      </w:pPr>
      <w:r>
        <w:rPr>
          <w:rFonts w:ascii="Noto Sans" w:hAnsi="Noto Sans"/>
          <w:b w:val="0"/>
          <w:i w:val="0"/>
          <w:sz w:val="21"/>
        </w:rPr>
        <w:t>3. Fonctionnement général</w:t>
      </w:r>
    </w:p>
    <w:p>
      <w:pPr>
        <w:pStyle w:val="ListBullet"/>
      </w:pPr>
      <w:r>
        <w:rPr>
          <w:rFonts w:ascii="Noto Sans" w:hAnsi="Noto Sans"/>
          <w:b w:val="0"/>
          <w:i w:val="0"/>
          <w:sz w:val="21"/>
        </w:rPr>
        <w:t>4. Réglages par défaut</w:t>
      </w:r>
    </w:p>
    <w:p>
      <w:pPr>
        <w:pStyle w:val="ListBullet"/>
      </w:pPr>
      <w:r>
        <w:rPr>
          <w:rFonts w:ascii="Noto Sans" w:hAnsi="Noto Sans"/>
          <w:b w:val="0"/>
          <w:i w:val="0"/>
          <w:sz w:val="21"/>
        </w:rPr>
        <w:t>5. Personnaliser jusqu’à dix alarmes</w:t>
      </w:r>
    </w:p>
    <w:p>
      <w:pPr>
        <w:pStyle w:val="ListBullet"/>
      </w:pPr>
      <w:r>
        <w:rPr>
          <w:rFonts w:ascii="Noto Sans" w:hAnsi="Noto Sans"/>
          <w:b w:val="0"/>
          <w:i w:val="0"/>
          <w:sz w:val="21"/>
        </w:rPr>
        <w:t>6. Personnaliser les trois boutons de rappel</w:t>
      </w:r>
    </w:p>
    <w:p>
      <w:pPr>
        <w:pStyle w:val="ListBullet"/>
      </w:pPr>
      <w:r>
        <w:rPr>
          <w:rFonts w:ascii="Noto Sans" w:hAnsi="Noto Sans"/>
          <w:b w:val="0"/>
          <w:i w:val="0"/>
          <w:sz w:val="21"/>
        </w:rPr>
        <w:t>7. Choisir un son MP3, WAV, WMA ou MIDI</w:t>
      </w:r>
    </w:p>
    <w:p>
      <w:pPr>
        <w:pStyle w:val="ListBullet"/>
      </w:pPr>
      <w:r>
        <w:rPr>
          <w:rFonts w:ascii="Noto Sans" w:hAnsi="Noto Sans"/>
          <w:b w:val="0"/>
          <w:i w:val="0"/>
          <w:sz w:val="21"/>
        </w:rPr>
        <w:t>8. Ajouter une image d’arrière-plan</w:t>
      </w:r>
    </w:p>
    <w:p>
      <w:pPr>
        <w:pStyle w:val="ListBullet"/>
      </w:pPr>
      <w:r>
        <w:rPr>
          <w:rFonts w:ascii="Noto Sans" w:hAnsi="Noto Sans"/>
          <w:b w:val="0"/>
          <w:i w:val="0"/>
          <w:sz w:val="21"/>
        </w:rPr>
        <w:t>9. Menu de l’icône et accès direct à l’agenda</w:t>
      </w:r>
    </w:p>
    <w:p>
      <w:pPr>
        <w:pStyle w:val="ListBullet"/>
      </w:pPr>
      <w:r>
        <w:rPr>
          <w:rFonts w:ascii="Noto Sans" w:hAnsi="Noto Sans"/>
          <w:b w:val="0"/>
          <w:i w:val="0"/>
          <w:sz w:val="21"/>
        </w:rPr>
        <w:t>10. Tester les alarmes et vérifier un vrai événement</w:t>
      </w:r>
    </w:p>
    <w:p>
      <w:pPr>
        <w:pStyle w:val="ListBullet"/>
      </w:pPr>
      <w:r>
        <w:rPr>
          <w:rFonts w:ascii="Noto Sans" w:hAnsi="Noto Sans"/>
          <w:b w:val="0"/>
          <w:i w:val="0"/>
          <w:sz w:val="21"/>
        </w:rPr>
        <w:t>11. Fonctionnement en arrière-plan et relance</w:t>
      </w:r>
    </w:p>
    <w:p>
      <w:pPr>
        <w:pStyle w:val="ListBullet"/>
      </w:pPr>
      <w:r>
        <w:rPr>
          <w:rFonts w:ascii="Noto Sans" w:hAnsi="Noto Sans"/>
          <w:b w:val="0"/>
          <w:i w:val="0"/>
          <w:sz w:val="21"/>
        </w:rPr>
        <w:t>12. Installer le logiciel sur d’autres ordinateurs</w:t>
      </w:r>
    </w:p>
    <w:p>
      <w:pPr>
        <w:pStyle w:val="ListBullet"/>
      </w:pPr>
      <w:r>
        <w:rPr>
          <w:rFonts w:ascii="Noto Sans" w:hAnsi="Noto Sans"/>
          <w:b w:val="0"/>
          <w:i w:val="0"/>
          <w:sz w:val="21"/>
        </w:rPr>
        <w:t>13. Dépannage rapide et sécurité</w:t>
      </w:r>
    </w:p>
    <w:p>
      <w:pPr>
        <w:pStyle w:val="ListBullet"/>
      </w:pPr>
      <w:r>
        <w:t>14. Dossier du logiciel, déplacement et désinstallation complète</w:t>
      </w:r>
    </w:p>
    <w:p/>
    <w:p>
      <w:pPr>
        <w:pStyle w:val="ListBullet"/>
      </w:pPr>
      <w:r>
        <w:t>15. Horloge plein écran et gestion de plusieurs alarmes</w:t>
      </w:r>
    </w:p>
    <w:p/>
    <w:p>
      <w:pPr>
        <w:pStyle w:val="ListBullet"/>
      </w:pPr>
      <w:r>
        <w:t>16. Bibliothèque de vingt sons intégrés et droits d’utilisation</w:t>
      </w:r>
    </w:p>
    <w:tbl>
      <w:tblPr>
        <w:tblW w:type="auto" w:w="0"/>
        <w:jc w:val="center"/>
        <w:tblLayout w:type="fixed"/>
        <w:tblLook w:firstColumn="1" w:firstRow="1" w:lastColumn="0" w:lastRow="0" w:noHBand="0" w:noVBand="1" w:val="04A0"/>
      </w:tblPr>
      <w:tblGrid>
        <w:gridCol w:w="9468"/>
      </w:tblGrid>
      <w:tr>
        <w:trPr>
          <w:cantSplit/>
        </w:trPr>
        <w:tc>
          <w:tcPr>
            <w:tcW w:type="dxa" w:w="9978"/>
            <w:shd w:fill="EAF6EC"/>
            <w:tcBorders>
              <w:top w:val="single" w:sz="4" w:color="EAF6EC"/>
              <w:left w:val="single" w:sz="18" w:color="2E7D32"/>
              <w:bottom w:val="single" w:sz="4" w:color="EAF6EC"/>
              <w:right w:val="single" w:sz="4" w:color="EAF6EC"/>
            </w:tcBorders>
            <w:vAlign w:val="center"/>
          </w:tcPr>
          <w:p>
            <w:pPr>
              <w:spacing w:before="20" w:after="40" w:line="252" w:lineRule="auto"/>
            </w:pPr>
            <w:r>
              <w:rPr>
                <w:rFonts w:ascii="Noto Sans" w:hAnsi="Noto Sans"/>
                <w:b/>
                <w:i w:val="0"/>
                <w:color w:val="2E7D32"/>
                <w:sz w:val="23"/>
              </w:rPr>
              <w:t>Lecture rapide</w:t>
            </w:r>
          </w:p>
          <w:p>
            <w:pPr>
              <w:spacing w:before="20" w:after="40" w:line="252" w:lineRule="auto"/>
            </w:pPr>
            <w:r>
              <w:t>Les sections 1, 2 et 10 suffisent pour une première installation. Les sections 5 à 9 expliquent toutes les possibilités de personnalisation de la version 1.0.</w:t>
            </w:r>
          </w:p>
        </w:tc>
      </w:tr>
    </w:tbl>
    <w:p>
      <w:pPr>
        <w:spacing w:after="0"/>
      </w:pPr>
    </w:p>
    <w:p>
      <w:r>
        <w:br w:type="page"/>
      </w:r>
    </w:p>
    <w:p>
      <w:pPr>
        <w:pStyle w:val="Heading1"/>
        <w:keepNext/>
      </w:pPr>
      <w:r>
        <w:t>1. Installation ou mise à jour</w:t>
      </w:r>
    </w:p>
    <w:p>
      <w:pPr>
        <w:pStyle w:val="BodyText"/>
      </w:pPr>
      <w:r>
        <w:rPr>
          <w:rFonts w:ascii="Noto Sans" w:hAnsi="Noto Sans"/>
          <w:b w:val="0"/>
          <w:i w:val="0"/>
          <w:sz w:val="21"/>
        </w:rPr>
        <w:t>Alerte Agenda fonctionne sous Windows 11 et se lance en arrière-plan sans laisser de fenêtre noire ouverte. L’installation ne nécessite ni Python, ni environnement de développement, ni mot de passe Google.</w:t>
      </w:r>
    </w:p>
    <w:p>
      <w:pPr>
        <w:pStyle w:val="Heading2"/>
        <w:keepNext/>
      </w:pPr>
      <w:r>
        <w:t>1.1 Première installation</w:t>
      </w:r>
    </w:p>
    <w:tbl>
      <w:tblPr>
        <w:tblW w:type="auto" w:w="0"/>
        <w:jc w:val="center"/>
        <w:tblLayout w:type="fixed"/>
        <w:tblLook w:firstColumn="1" w:firstRow="1" w:lastColumn="0" w:lastRow="0" w:noHBand="0" w:noVBand="1" w:val="04A0"/>
      </w:tblPr>
      <w:tblGrid>
        <w:gridCol w:w="794"/>
        <w:gridCol w:w="8674"/>
      </w:tblGrid>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1</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rPr>
                <w:rFonts w:ascii="Noto Sans" w:hAnsi="Noto Sans"/>
                <w:b/>
                <w:i w:val="0"/>
                <w:color w:val="123A5A"/>
                <w:sz w:val="21"/>
              </w:rPr>
              <w:t>Décompresser l’archive</w:t>
            </w:r>
            <w:r>
              <w:rPr>
                <w:rFonts w:ascii="Noto Sans" w:hAnsi="Noto Sans"/>
                <w:b w:val="0"/>
                <w:i w:val="0"/>
                <w:sz w:val="20"/>
              </w:rPr>
              <w:t xml:space="preserve"> — faites un clic droit sur le fichier ZIP, choisissez « Extraire tout », puis ouvrez le dossier obtenu.</w:t>
            </w:r>
          </w:p>
        </w:tc>
      </w:tr>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2</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rPr>
                <w:rFonts w:ascii="Noto Sans" w:hAnsi="Noto Sans"/>
                <w:b/>
                <w:i w:val="0"/>
                <w:color w:val="123A5A"/>
                <w:sz w:val="21"/>
              </w:rPr>
              <w:t>Ouvrir la notice</w:t>
            </w:r>
            <w:r>
              <w:rPr>
                <w:rFonts w:ascii="Noto Sans" w:hAnsi="Noto Sans"/>
                <w:b w:val="0"/>
                <w:i w:val="0"/>
                <w:sz w:val="20"/>
              </w:rPr>
              <w:t xml:space="preserve"> — conservez ce document à proximité afin de suivre la récupération du lien iCal.</w:t>
            </w:r>
          </w:p>
        </w:tc>
      </w:tr>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3</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t>Lancer l’installateur — double-cliquez sur INSTALLER_V10_SANS_FENETRE.vbs.</w:t>
            </w:r>
          </w:p>
        </w:tc>
      </w:tr>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4</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rPr>
                <w:rFonts w:ascii="Noto Sans" w:hAnsi="Noto Sans"/>
                <w:b/>
                <w:i w:val="0"/>
                <w:color w:val="123A5A"/>
                <w:sz w:val="21"/>
              </w:rPr>
              <w:t>Coller le lien secret</w:t>
            </w:r>
            <w:r>
              <w:rPr>
                <w:rFonts w:ascii="Noto Sans" w:hAnsi="Noto Sans"/>
                <w:b w:val="0"/>
                <w:i w:val="0"/>
                <w:sz w:val="20"/>
              </w:rPr>
              <w:t xml:space="preserve"> — collez l’Adresse secrète au format iCal de votre agenda Google, puis validez.</w:t>
            </w:r>
          </w:p>
        </w:tc>
      </w:tr>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5</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rPr>
                <w:rFonts w:ascii="Noto Sans" w:hAnsi="Noto Sans"/>
                <w:b/>
                <w:i w:val="0"/>
                <w:color w:val="123A5A"/>
                <w:sz w:val="21"/>
              </w:rPr>
              <w:t>Attendre la confirmation</w:t>
            </w:r>
            <w:r>
              <w:rPr>
                <w:rFonts w:ascii="Noto Sans" w:hAnsi="Noto Sans"/>
                <w:b w:val="0"/>
                <w:i w:val="0"/>
                <w:sz w:val="20"/>
              </w:rPr>
              <w:t xml:space="preserve"> — l’icône calendrier apparaît près de l’horloge, parfois dans le volet des icônes masquées.</w:t>
            </w:r>
          </w:p>
        </w:tc>
      </w:tr>
    </w:tbl>
    <w:p>
      <w:pPr>
        <w:pStyle w:val="Heading2"/>
        <w:keepNext/>
      </w:pPr>
      <w:r>
        <w:t>1.2 Mise à jour depuis la version 0.6</w:t>
      </w:r>
    </w:p>
    <w:p>
      <w:pPr>
        <w:pStyle w:val="BodyText"/>
      </w:pPr>
      <w:r>
        <w:t>Il n’est pas nécessaire de désinstaller l’ancienne version. L’installateur V1.0 arrête l’application, remplace les fichiers du programme, conserve le lien iCal existant, les événements mémorisés, les réglages personnalisés et les médias copiés dans le dossier du logiciel, puis relance Alerte Agenda.</w:t>
      </w:r>
    </w:p>
    <w:tbl>
      <w:tblPr>
        <w:tblW w:type="auto" w:w="0"/>
        <w:jc w:val="center"/>
        <w:tblLayout w:type="fixed"/>
        <w:tblLook w:firstColumn="1" w:firstRow="1" w:lastColumn="0" w:lastRow="0" w:noHBand="0" w:noVBand="1" w:val="04A0"/>
      </w:tblPr>
      <w:tblGrid>
        <w:gridCol w:w="9468"/>
      </w:tblGrid>
      <w:tr>
        <w:trPr>
          <w:cantSplit/>
        </w:trPr>
        <w:tc>
          <w:tcPr>
            <w:tcW w:type="dxa" w:w="9978"/>
            <w:shd w:fill="FDECEC"/>
            <w:tcBorders>
              <w:top w:val="single" w:sz="4" w:color="FDECEC"/>
              <w:left w:val="single" w:sz="18" w:color="B3261E"/>
              <w:bottom w:val="single" w:sz="4" w:color="FDECEC"/>
              <w:right w:val="single" w:sz="4" w:color="FDECEC"/>
            </w:tcBorders>
            <w:vAlign w:val="center"/>
          </w:tcPr>
          <w:p>
            <w:pPr>
              <w:spacing w:before="20" w:after="40" w:line="252" w:lineRule="auto"/>
            </w:pPr>
            <w:r>
              <w:rPr>
                <w:rFonts w:ascii="Noto Sans" w:hAnsi="Noto Sans"/>
                <w:b/>
                <w:i w:val="0"/>
                <w:color w:val="B3261E"/>
                <w:sz w:val="23"/>
              </w:rPr>
              <w:t>Important</w:t>
            </w:r>
          </w:p>
          <w:p>
            <w:pPr>
              <w:spacing w:before="20" w:after="40" w:line="252" w:lineRule="auto"/>
            </w:pPr>
            <w:r>
              <w:rPr>
                <w:rFonts w:ascii="Noto Sans" w:hAnsi="Noto Sans"/>
                <w:b w:val="0"/>
                <w:i w:val="0"/>
                <w:sz w:val="20"/>
              </w:rPr>
              <w:t>Lancez toujours l’installateur après avoir entièrement extrait le ZIP. Une exécution directement depuis l’archive peut empêcher la copie correcte des sons, de la notice ou des scripts.</w:t>
            </w:r>
          </w:p>
        </w:tc>
      </w:tr>
    </w:tbl>
    <w:p>
      <w:pPr>
        <w:spacing w:after="0"/>
      </w:pPr>
    </w:p>
    <w:p>
      <w:pPr>
        <w:pStyle w:val="Heading1"/>
        <w:keepNext/>
      </w:pPr>
      <w:r>
        <w:t>2. Trouver le bon lien Google Agenda</w:t>
      </w:r>
    </w:p>
    <w:p>
      <w:pPr>
        <w:pStyle w:val="BodyText"/>
      </w:pPr>
      <w:r>
        <w:rPr>
          <w:rFonts w:ascii="Noto Sans" w:hAnsi="Noto Sans"/>
          <w:b w:val="0"/>
          <w:i w:val="0"/>
          <w:sz w:val="21"/>
        </w:rPr>
        <w:t>Le logiciel ne se connecte pas avec votre mot de passe Google. Il lit un flux iCal, c’est-à-dire une adresse Internet qui transmet les événements du calendrier au format standard ICS.</w:t>
      </w:r>
    </w:p>
    <w:p>
      <w:pPr>
        <w:pStyle w:val="Heading2"/>
        <w:keepNext/>
      </w:pPr>
      <w:r>
        <w:t>2.1 Chemin exact dans Google Agenda</w:t>
      </w:r>
    </w:p>
    <w:tbl>
      <w:tblPr>
        <w:tblW w:type="auto" w:w="0"/>
        <w:jc w:val="center"/>
        <w:tblLayout w:type="fixed"/>
        <w:tblLook w:firstColumn="1" w:firstRow="1" w:lastColumn="0" w:lastRow="0" w:noHBand="0" w:noVBand="1" w:val="04A0"/>
      </w:tblPr>
      <w:tblGrid>
        <w:gridCol w:w="794"/>
        <w:gridCol w:w="8674"/>
      </w:tblGrid>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1</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rPr>
                <w:rFonts w:ascii="Noto Sans" w:hAnsi="Noto Sans"/>
                <w:b/>
                <w:i w:val="0"/>
                <w:color w:val="123A5A"/>
                <w:sz w:val="21"/>
              </w:rPr>
              <w:t>Ouvrir Google Agenda</w:t>
            </w:r>
            <w:r>
              <w:rPr>
                <w:rFonts w:ascii="Noto Sans" w:hAnsi="Noto Sans"/>
                <w:b w:val="0"/>
                <w:i w:val="0"/>
                <w:sz w:val="20"/>
              </w:rPr>
              <w:t xml:space="preserve"> — utilisez un ordinateur et ouvrez calendar.google.com dans votre navigateur.</w:t>
            </w:r>
          </w:p>
        </w:tc>
      </w:tr>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2</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rPr>
                <w:rFonts w:ascii="Noto Sans" w:hAnsi="Noto Sans"/>
                <w:b/>
                <w:i w:val="0"/>
                <w:color w:val="123A5A"/>
                <w:sz w:val="21"/>
              </w:rPr>
              <w:t>Ouvrir les paramètres</w:t>
            </w:r>
            <w:r>
              <w:rPr>
                <w:rFonts w:ascii="Noto Sans" w:hAnsi="Noto Sans"/>
                <w:b w:val="0"/>
                <w:i w:val="0"/>
                <w:sz w:val="20"/>
              </w:rPr>
              <w:t xml:space="preserve"> — cliquez sur la roue dentée en haut à droite, puis sur « Paramètres ».</w:t>
            </w:r>
          </w:p>
        </w:tc>
      </w:tr>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3</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rPr>
                <w:rFonts w:ascii="Noto Sans" w:hAnsi="Noto Sans"/>
                <w:b/>
                <w:i w:val="0"/>
                <w:color w:val="123A5A"/>
                <w:sz w:val="21"/>
              </w:rPr>
              <w:t>Choisir le bon agenda</w:t>
            </w:r>
            <w:r>
              <w:rPr>
                <w:rFonts w:ascii="Noto Sans" w:hAnsi="Noto Sans"/>
                <w:b w:val="0"/>
                <w:i w:val="0"/>
                <w:sz w:val="20"/>
              </w:rPr>
              <w:t xml:space="preserve"> — dans « Paramètres de mes agendas », cliquez sur l’agenda qui contient réellement vos rendez-vous.</w:t>
            </w:r>
          </w:p>
        </w:tc>
      </w:tr>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4</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rPr>
                <w:rFonts w:ascii="Noto Sans" w:hAnsi="Noto Sans"/>
                <w:b/>
                <w:i w:val="0"/>
                <w:color w:val="123A5A"/>
                <w:sz w:val="21"/>
              </w:rPr>
              <w:t>Ouvrir « Intégrer l’agenda »</w:t>
            </w:r>
            <w:r>
              <w:rPr>
                <w:rFonts w:ascii="Noto Sans" w:hAnsi="Noto Sans"/>
                <w:b w:val="0"/>
                <w:i w:val="0"/>
                <w:sz w:val="20"/>
              </w:rPr>
              <w:t xml:space="preserve"> — faites défiler la page jusqu’à cette rubrique.</w:t>
            </w:r>
          </w:p>
        </w:tc>
      </w:tr>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5</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rPr>
                <w:rFonts w:ascii="Noto Sans" w:hAnsi="Noto Sans"/>
                <w:b/>
                <w:i w:val="0"/>
                <w:color w:val="123A5A"/>
                <w:sz w:val="21"/>
              </w:rPr>
              <w:t>Copier l’adresse secrète</w:t>
            </w:r>
            <w:r>
              <w:rPr>
                <w:rFonts w:ascii="Noto Sans" w:hAnsi="Noto Sans"/>
                <w:b w:val="0"/>
                <w:i w:val="0"/>
                <w:sz w:val="20"/>
              </w:rPr>
              <w:t xml:space="preserve"> — repérez exactement « Adresse secrète au format iCal », puis cliquez sur l’icône de copie.</w:t>
            </w:r>
          </w:p>
        </w:tc>
      </w:tr>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6</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rPr>
                <w:rFonts w:ascii="Noto Sans" w:hAnsi="Noto Sans"/>
                <w:b/>
                <w:i w:val="0"/>
                <w:color w:val="123A5A"/>
                <w:sz w:val="21"/>
              </w:rPr>
              <w:t>Coller dans Alerte Agenda</w:t>
            </w:r>
            <w:r>
              <w:rPr>
                <w:rFonts w:ascii="Noto Sans" w:hAnsi="Noto Sans"/>
                <w:b w:val="0"/>
                <w:i w:val="0"/>
                <w:sz w:val="20"/>
              </w:rPr>
              <w:t xml:space="preserve"> — utilisez Ctrl + V dans la fenêtre de l’installateur. Ctrl désigne la touche Control et V la lettre V.</w:t>
            </w:r>
          </w:p>
        </w:tc>
      </w:tr>
    </w:tbl>
    <w:tbl>
      <w:tblPr>
        <w:tblW w:type="auto" w:w="0"/>
        <w:jc w:val="center"/>
        <w:tblLayout w:type="fixed"/>
        <w:tblLook w:firstColumn="1" w:firstRow="1" w:lastColumn="0" w:lastRow="0" w:noHBand="0" w:noVBand="1" w:val="04A0"/>
      </w:tblPr>
      <w:tblGrid>
        <w:gridCol w:w="9468"/>
      </w:tblGrid>
      <w:tr>
        <w:trPr>
          <w:cantSplit/>
        </w:trPr>
        <w:tc>
          <w:tcPr>
            <w:tcW w:type="dxa" w:w="9978"/>
            <w:shd w:fill="EAF6EC"/>
            <w:tcBorders>
              <w:top w:val="single" w:sz="4" w:color="EAF6EC"/>
              <w:left w:val="single" w:sz="18" w:color="2E7D32"/>
              <w:bottom w:val="single" w:sz="4" w:color="EAF6EC"/>
              <w:right w:val="single" w:sz="4" w:color="EAF6EC"/>
            </w:tcBorders>
            <w:vAlign w:val="center"/>
          </w:tcPr>
          <w:p>
            <w:pPr>
              <w:spacing w:before="20" w:after="40" w:line="252" w:lineRule="auto"/>
            </w:pPr>
            <w:r>
              <w:rPr>
                <w:rFonts w:ascii="Noto Sans" w:hAnsi="Noto Sans"/>
                <w:b/>
                <w:i w:val="0"/>
                <w:color w:val="2E7D32"/>
                <w:sz w:val="23"/>
              </w:rPr>
              <w:t>Lien à utiliser</w:t>
            </w:r>
          </w:p>
          <w:p>
            <w:pPr>
              <w:spacing w:before="20" w:after="40" w:line="252" w:lineRule="auto"/>
            </w:pPr>
            <w:r>
              <w:rPr>
                <w:rFonts w:ascii="Noto Sans" w:hAnsi="Noto Sans"/>
                <w:b w:val="0"/>
                <w:i w:val="0"/>
                <w:sz w:val="20"/>
              </w:rPr>
              <w:t>Utilisez « Adresse secrète au format iCal ». Cette adresse est destinée à la consultation personnelle de votre calendrier par une autre application.</w:t>
            </w:r>
          </w:p>
        </w:tc>
      </w:tr>
    </w:tbl>
    <w:p>
      <w:pPr>
        <w:spacing w:after="0"/>
      </w:pPr>
    </w:p>
    <w:tbl>
      <w:tblPr>
        <w:tblW w:type="auto" w:w="0"/>
        <w:jc w:val="center"/>
        <w:tblLayout w:type="fixed"/>
        <w:tblLook w:firstColumn="1" w:firstRow="1" w:lastColumn="0" w:lastRow="0" w:noHBand="0" w:noVBand="1" w:val="04A0"/>
      </w:tblPr>
      <w:tblGrid>
        <w:gridCol w:w="9468"/>
      </w:tblGrid>
      <w:tr>
        <w:trPr>
          <w:cantSplit/>
        </w:trPr>
        <w:tc>
          <w:tcPr>
            <w:tcW w:type="dxa" w:w="9978"/>
            <w:shd w:fill="FDECEC"/>
            <w:tcBorders>
              <w:top w:val="single" w:sz="4" w:color="FDECEC"/>
              <w:left w:val="single" w:sz="18" w:color="B3261E"/>
              <w:bottom w:val="single" w:sz="4" w:color="FDECEC"/>
              <w:right w:val="single" w:sz="4" w:color="FDECEC"/>
            </w:tcBorders>
            <w:vAlign w:val="center"/>
          </w:tcPr>
          <w:p>
            <w:pPr>
              <w:spacing w:before="20" w:after="40" w:line="252" w:lineRule="auto"/>
            </w:pPr>
            <w:r>
              <w:rPr>
                <w:rFonts w:ascii="Noto Sans" w:hAnsi="Noto Sans"/>
                <w:b/>
                <w:i w:val="0"/>
                <w:color w:val="B3261E"/>
                <w:sz w:val="23"/>
              </w:rPr>
              <w:t>Lien à éviter</w:t>
            </w:r>
          </w:p>
          <w:p>
            <w:pPr>
              <w:spacing w:before="20" w:after="40" w:line="252" w:lineRule="auto"/>
            </w:pPr>
            <w:r>
              <w:rPr>
                <w:rFonts w:ascii="Noto Sans" w:hAnsi="Noto Sans"/>
                <w:b w:val="0"/>
                <w:i w:val="0"/>
                <w:sz w:val="20"/>
              </w:rPr>
              <w:t>N’utilisez pas l’« Adresse publique au format iCal » se terminant par /public/basic.ics, sauf si vous avez volontairement rendu l’agenda public. Dans le cas contraire, le logiciel peut fonctionner en apparence, mais ne recevoir aucun rendez-vous réel.</w:t>
            </w:r>
          </w:p>
        </w:tc>
      </w:tr>
    </w:tbl>
    <w:p>
      <w:pPr>
        <w:spacing w:after="0"/>
      </w:pPr>
    </w:p>
    <w:p>
      <w:pPr>
        <w:pStyle w:val="Heading2"/>
        <w:keepNext/>
      </w:pPr>
      <w:r>
        <w:t>2.2 Comment reconnaître les deux liens</w:t>
      </w:r>
    </w:p>
    <w:tbl>
      <w:tblPr>
        <w:tblStyle w:val="TableGrid"/>
        <w:tblW w:type="auto" w:w="0"/>
        <w:jc w:val="center"/>
        <w:tblLook w:firstColumn="1" w:firstRow="1" w:lastColumn="0" w:lastRow="0" w:noHBand="0" w:noVBand="1" w:val="04A0"/>
      </w:tblPr>
      <w:tblGrid>
        <w:gridCol w:w="3326"/>
        <w:gridCol w:w="3326"/>
        <w:gridCol w:w="3326"/>
      </w:tblGrid>
      <w:tr>
        <w:trPr>
          <w:tblHeader w:val="true"/>
          <w:cantSplit/>
        </w:trPr>
        <w:tc>
          <w:tcPr>
            <w:tcW w:type="dxa" w:w="3326"/>
            <w:shd w:fill="123A5A"/>
            <w:vAlign w:val="center"/>
          </w:tcPr>
          <w:p>
            <w:pPr>
              <w:spacing w:after="40" w:before="20" w:line="252" w:lineRule="auto"/>
            </w:pPr>
            <w:r>
              <w:rPr>
                <w:rFonts w:ascii="Noto Sans" w:hAnsi="Noto Sans"/>
                <w:b/>
                <w:i w:val="0"/>
                <w:color w:val="FFFFFF"/>
                <w:sz w:val="19"/>
              </w:rPr>
              <w:t>Type de lien</w:t>
            </w:r>
          </w:p>
        </w:tc>
        <w:tc>
          <w:tcPr>
            <w:tcW w:type="dxa" w:w="3326"/>
            <w:shd w:fill="123A5A"/>
            <w:vAlign w:val="center"/>
          </w:tcPr>
          <w:p>
            <w:pPr>
              <w:spacing w:after="40" w:before="20" w:line="252" w:lineRule="auto"/>
            </w:pPr>
            <w:r>
              <w:rPr>
                <w:rFonts w:ascii="Noto Sans" w:hAnsi="Noto Sans"/>
                <w:b/>
                <w:i w:val="0"/>
                <w:color w:val="FFFFFF"/>
                <w:sz w:val="19"/>
              </w:rPr>
              <w:t>Aspect habituel</w:t>
            </w:r>
          </w:p>
        </w:tc>
        <w:tc>
          <w:tcPr>
            <w:tcW w:type="dxa" w:w="3326"/>
            <w:shd w:fill="123A5A"/>
            <w:vAlign w:val="center"/>
          </w:tcPr>
          <w:p>
            <w:pPr>
              <w:spacing w:after="40" w:before="20" w:line="252" w:lineRule="auto"/>
            </w:pPr>
            <w:r>
              <w:rPr>
                <w:rFonts w:ascii="Noto Sans" w:hAnsi="Noto Sans"/>
                <w:b/>
                <w:i w:val="0"/>
                <w:color w:val="FFFFFF"/>
                <w:sz w:val="19"/>
              </w:rPr>
              <w:t>Recommandation</w:t>
            </w:r>
          </w:p>
        </w:tc>
      </w:tr>
      <w:tr>
        <w:trPr>
          <w:cantSplit/>
        </w:trPr>
        <w:tc>
          <w:tcPr>
            <w:tcW w:type="dxa" w:w="3326"/>
            <w:vAlign w:val="center"/>
          </w:tcPr>
          <w:p>
            <w:pPr>
              <w:spacing w:after="40" w:before="20" w:line="252" w:lineRule="auto"/>
            </w:pPr>
            <w:r>
              <w:rPr>
                <w:rFonts w:ascii="Noto Sans" w:hAnsi="Noto Sans"/>
                <w:b/>
                <w:i w:val="0"/>
                <w:sz w:val="18"/>
              </w:rPr>
              <w:t>Public</w:t>
            </w:r>
          </w:p>
        </w:tc>
        <w:tc>
          <w:tcPr>
            <w:tcW w:type="dxa" w:w="3326"/>
            <w:vAlign w:val="center"/>
          </w:tcPr>
          <w:p>
            <w:pPr>
              <w:spacing w:after="40" w:before="20" w:line="252" w:lineRule="auto"/>
            </w:pPr>
            <w:r>
              <w:rPr>
                <w:rFonts w:ascii="Noto Sans" w:hAnsi="Noto Sans"/>
                <w:b w:val="0"/>
                <w:i w:val="0"/>
                <w:sz w:val="18"/>
              </w:rPr>
              <w:t>…/public/basic.ics</w:t>
            </w:r>
          </w:p>
        </w:tc>
        <w:tc>
          <w:tcPr>
            <w:tcW w:type="dxa" w:w="3326"/>
            <w:vAlign w:val="center"/>
          </w:tcPr>
          <w:p>
            <w:pPr>
              <w:spacing w:after="40" w:before="20" w:line="252" w:lineRule="auto"/>
            </w:pPr>
            <w:r>
              <w:rPr>
                <w:rFonts w:ascii="Noto Sans" w:hAnsi="Noto Sans"/>
                <w:b w:val="0"/>
                <w:i w:val="0"/>
                <w:sz w:val="18"/>
              </w:rPr>
              <w:t>À éviter pour un agenda privé.</w:t>
            </w:r>
          </w:p>
        </w:tc>
      </w:tr>
      <w:tr>
        <w:trPr>
          <w:cantSplit/>
        </w:trPr>
        <w:tc>
          <w:tcPr>
            <w:tcW w:type="dxa" w:w="3326"/>
            <w:vAlign w:val="center"/>
          </w:tcPr>
          <w:p>
            <w:pPr>
              <w:spacing w:after="40" w:before="20" w:line="252" w:lineRule="auto"/>
            </w:pPr>
            <w:r>
              <w:rPr>
                <w:rFonts w:ascii="Noto Sans" w:hAnsi="Noto Sans"/>
                <w:b/>
                <w:i w:val="0"/>
                <w:sz w:val="18"/>
              </w:rPr>
              <w:t>Secret</w:t>
            </w:r>
          </w:p>
        </w:tc>
        <w:tc>
          <w:tcPr>
            <w:tcW w:type="dxa" w:w="3326"/>
            <w:vAlign w:val="center"/>
          </w:tcPr>
          <w:p>
            <w:pPr>
              <w:spacing w:after="40" w:before="20" w:line="252" w:lineRule="auto"/>
            </w:pPr>
            <w:r>
              <w:rPr>
                <w:rFonts w:ascii="Noto Sans" w:hAnsi="Noto Sans"/>
                <w:b w:val="0"/>
                <w:i w:val="0"/>
                <w:sz w:val="18"/>
              </w:rPr>
              <w:t>…/private-…/basic.ics</w:t>
            </w:r>
          </w:p>
        </w:tc>
        <w:tc>
          <w:tcPr>
            <w:tcW w:type="dxa" w:w="3326"/>
            <w:vAlign w:val="center"/>
          </w:tcPr>
          <w:p>
            <w:pPr>
              <w:spacing w:after="40" w:before="20" w:line="252" w:lineRule="auto"/>
            </w:pPr>
            <w:r>
              <w:rPr>
                <w:rFonts w:ascii="Noto Sans" w:hAnsi="Noto Sans"/>
                <w:b w:val="0"/>
                <w:i w:val="0"/>
                <w:sz w:val="18"/>
              </w:rPr>
              <w:t>À utiliser pour Alerte Agenda.</w:t>
            </w:r>
          </w:p>
        </w:tc>
      </w:tr>
    </w:tbl>
    <w:p>
      <w:pPr>
        <w:pStyle w:val="BodyText"/>
      </w:pPr>
      <w:r>
        <w:rPr>
          <w:rFonts w:ascii="Noto Sans" w:hAnsi="Noto Sans"/>
          <w:b w:val="0"/>
          <w:i w:val="0"/>
          <w:sz w:val="21"/>
        </w:rPr>
        <w:t>Le lien secret doit rester confidentiel. Une personne qui le possède peut consulter les événements transmis par ce calendrier. En cas de divulgation, réinitialisez l’adresse secrète dans Google Agenda, puis remplacez-la dans Alerte Agenda.</w:t>
      </w:r>
    </w:p>
    <w:p>
      <w:pPr>
        <w:pStyle w:val="Heading1"/>
        <w:keepNext/>
      </w:pPr>
      <w:r>
        <w:t>3. Fonctionnement général</w:t>
      </w:r>
    </w:p>
    <w:p>
      <w:pPr>
        <w:pStyle w:val="BodyText"/>
      </w:pPr>
      <w:r>
        <w:t>Alerte Agenda télécharge périodiquement les événements, les conserve dans un cache local et contrôle toutes les cinq secondes si une alarme doit être déclenchée. Le navigateur Google Agenda n’a pas besoin de rester ouvert. La fenêtre plein écran affiche désormais le compte à rebours, l’heure numérique avec les secondes et une horloge analogique animée.</w:t>
      </w:r>
    </w:p>
    <w:p>
      <w:pPr>
        <w:pStyle w:val="ListBullet"/>
      </w:pPr>
      <w:r>
        <w:rPr>
          <w:rFonts w:ascii="Noto Sans" w:hAnsi="Noto Sans"/>
          <w:b w:val="0"/>
          <w:i w:val="0"/>
          <w:sz w:val="21"/>
        </w:rPr>
        <w:t>La synchronisation normale s’effectue toutes les 60 secondes.</w:t>
      </w:r>
    </w:p>
    <w:p>
      <w:pPr>
        <w:pStyle w:val="ListBullet"/>
      </w:pPr>
      <w:r>
        <w:rPr>
          <w:rFonts w:ascii="Noto Sans" w:hAnsi="Noto Sans"/>
          <w:b w:val="0"/>
          <w:i w:val="0"/>
          <w:sz w:val="21"/>
        </w:rPr>
        <w:t>Les événements déjà téléchargés restent disponibles pendant une coupure Internet temporaire.</w:t>
      </w:r>
    </w:p>
    <w:p>
      <w:pPr>
        <w:pStyle w:val="ListBullet"/>
      </w:pPr>
      <w:r>
        <w:t>Une grande fenêtre apparaît au premier plan avec le rendez-vous principal, un compte à rebours, l’heure courante et les autres rendez-vous de la journée dans la colonne de droite.</w:t>
      </w:r>
    </w:p>
    <w:p>
      <w:pPr>
        <w:pStyle w:val="ListBullet"/>
      </w:pPr>
      <w:r>
        <w:rPr>
          <w:rFonts w:ascii="Noto Sans" w:hAnsi="Noto Sans"/>
          <w:b w:val="0"/>
          <w:i w:val="0"/>
          <w:sz w:val="21"/>
        </w:rPr>
        <w:t>Les boutons permettent de fermer l’alerte, de la reporter selon trois délais personnalisables, d’ouvrir Google Agenda ou de lancer un itinéraire Google Maps. Par défaut, les reports sont réglés à 5 minutes, 15 minutes et 1 heure.</w:t>
      </w:r>
    </w:p>
    <w:tbl>
      <w:tblPr>
        <w:tblW w:type="auto" w:w="0"/>
        <w:jc w:val="center"/>
        <w:tblLayout w:type="fixed"/>
        <w:tblLook w:firstColumn="1" w:firstRow="1" w:lastColumn="0" w:lastRow="0" w:noHBand="0" w:noVBand="1" w:val="04A0"/>
      </w:tblPr>
      <w:tblGrid>
        <w:gridCol w:w="9468"/>
      </w:tblGrid>
      <w:tr>
        <w:trPr>
          <w:cantSplit/>
        </w:trPr>
        <w:tc>
          <w:tcPr>
            <w:tcW w:type="dxa" w:w="9978"/>
            <w:shd w:fill="FFF4DC"/>
            <w:tcBorders>
              <w:top w:val="single" w:sz="4" w:color="FFF4DC"/>
              <w:left w:val="single" w:sz="18" w:color="E69F00"/>
              <w:bottom w:val="single" w:sz="4" w:color="FFF4DC"/>
              <w:right w:val="single" w:sz="4" w:color="FFF4DC"/>
            </w:tcBorders>
            <w:vAlign w:val="center"/>
          </w:tcPr>
          <w:p>
            <w:pPr>
              <w:spacing w:before="20" w:after="40" w:line="252" w:lineRule="auto"/>
            </w:pPr>
            <w:r>
              <w:rPr>
                <w:rFonts w:ascii="Noto Sans" w:hAnsi="Noto Sans"/>
                <w:b/>
                <w:i w:val="0"/>
                <w:color w:val="E69F00"/>
                <w:sz w:val="23"/>
              </w:rPr>
              <w:t>Ordinateur éteint</w:t>
            </w:r>
          </w:p>
          <w:p>
            <w:pPr>
              <w:spacing w:before="20" w:after="40" w:line="252" w:lineRule="auto"/>
            </w:pPr>
            <w:r>
              <w:rPr>
                <w:rFonts w:ascii="Noto Sans" w:hAnsi="Noto Sans"/>
                <w:b w:val="0"/>
                <w:i w:val="0"/>
                <w:sz w:val="20"/>
              </w:rPr>
              <w:t>Aucun logiciel Windows ne peut sonner lorsque l’ordinateur est complètement éteint. Le programme fonctionne lorsque la session Windows est ouverte ; le réveil depuis la veille dépend des réglages énergétiques et du matériel.</w:t>
            </w:r>
          </w:p>
        </w:tc>
      </w:tr>
    </w:tbl>
    <w:p>
      <w:pPr>
        <w:spacing w:after="0"/>
      </w:pPr>
    </w:p>
    <w:p>
      <w:pPr>
        <w:pStyle w:val="Heading1"/>
        <w:keepNext/>
      </w:pPr>
      <w:r>
        <w:t>4. Réglages par défaut conservés</w:t>
      </w:r>
    </w:p>
    <w:p>
      <w:pPr>
        <w:pStyle w:val="BodyText"/>
      </w:pPr>
      <w:r>
        <w:rPr>
          <w:rFonts w:ascii="Noto Sans" w:hAnsi="Noto Sans"/>
          <w:b w:val="0"/>
          <w:i w:val="0"/>
          <w:sz w:val="21"/>
        </w:rPr>
        <w:t>Une installation neuve conserve exactement les quatre alarmes définies jusqu’à présent. Les six autres créneaux existent, mais restent désactivés tant que vous ne les activez pas.</w:t>
      </w:r>
    </w:p>
    <w:tbl>
      <w:tblPr>
        <w:tblStyle w:val="TableGrid"/>
        <w:tblW w:type="auto" w:w="0"/>
        <w:jc w:val="center"/>
        <w:tblLook w:firstColumn="1" w:firstRow="1" w:lastColumn="0" w:lastRow="0" w:noHBand="0" w:noVBand="1" w:val="04A0"/>
      </w:tblPr>
      <w:tblGrid>
        <w:gridCol w:w="1996"/>
        <w:gridCol w:w="1996"/>
        <w:gridCol w:w="1996"/>
        <w:gridCol w:w="1996"/>
        <w:gridCol w:w="1996"/>
      </w:tblGrid>
      <w:tr>
        <w:trPr>
          <w:tblHeader w:val="true"/>
          <w:cantSplit/>
        </w:trPr>
        <w:tc>
          <w:tcPr>
            <w:tcW w:type="dxa" w:w="1996"/>
            <w:shd w:fill="123A5A"/>
            <w:vAlign w:val="center"/>
          </w:tcPr>
          <w:p>
            <w:pPr>
              <w:spacing w:after="40" w:before="20" w:line="252" w:lineRule="auto"/>
            </w:pPr>
            <w:r>
              <w:rPr>
                <w:rFonts w:ascii="Noto Sans" w:hAnsi="Noto Sans"/>
                <w:b/>
                <w:i w:val="0"/>
                <w:color w:val="FFFFFF"/>
                <w:sz w:val="18"/>
              </w:rPr>
              <w:t>Délai</w:t>
            </w:r>
          </w:p>
        </w:tc>
        <w:tc>
          <w:tcPr>
            <w:tcW w:type="dxa" w:w="1996"/>
            <w:shd w:fill="123A5A"/>
            <w:vAlign w:val="center"/>
          </w:tcPr>
          <w:p>
            <w:pPr>
              <w:spacing w:after="40" w:before="20" w:line="252" w:lineRule="auto"/>
            </w:pPr>
            <w:r>
              <w:rPr>
                <w:rFonts w:ascii="Noto Sans" w:hAnsi="Noto Sans"/>
                <w:b/>
                <w:i w:val="0"/>
                <w:color w:val="FFFFFF"/>
                <w:sz w:val="18"/>
              </w:rPr>
              <w:t>Son</w:t>
            </w:r>
          </w:p>
        </w:tc>
        <w:tc>
          <w:tcPr>
            <w:tcW w:type="dxa" w:w="1996"/>
            <w:shd w:fill="123A5A"/>
            <w:vAlign w:val="center"/>
          </w:tcPr>
          <w:p>
            <w:pPr>
              <w:spacing w:after="40" w:before="20" w:line="252" w:lineRule="auto"/>
            </w:pPr>
            <w:r>
              <w:rPr>
                <w:rFonts w:ascii="Noto Sans" w:hAnsi="Noto Sans"/>
                <w:b/>
                <w:i w:val="0"/>
                <w:color w:val="FFFFFF"/>
                <w:sz w:val="18"/>
              </w:rPr>
              <w:t>Lecture</w:t>
            </w:r>
          </w:p>
        </w:tc>
        <w:tc>
          <w:tcPr>
            <w:tcW w:type="dxa" w:w="1996"/>
            <w:shd w:fill="123A5A"/>
            <w:vAlign w:val="center"/>
          </w:tcPr>
          <w:p>
            <w:pPr>
              <w:spacing w:after="40" w:before="20" w:line="252" w:lineRule="auto"/>
            </w:pPr>
            <w:r>
              <w:rPr>
                <w:rFonts w:ascii="Noto Sans" w:hAnsi="Noto Sans"/>
                <w:b/>
                <w:i w:val="0"/>
                <w:color w:val="FFFFFF"/>
                <w:sz w:val="18"/>
              </w:rPr>
              <w:t>Fenêtre</w:t>
            </w:r>
          </w:p>
        </w:tc>
        <w:tc>
          <w:tcPr>
            <w:tcW w:type="dxa" w:w="1996"/>
            <w:shd w:fill="123A5A"/>
            <w:vAlign w:val="center"/>
          </w:tcPr>
          <w:p>
            <w:pPr>
              <w:spacing w:after="40" w:before="20" w:line="252" w:lineRule="auto"/>
            </w:pPr>
            <w:r>
              <w:rPr>
                <w:rFonts w:ascii="Noto Sans" w:hAnsi="Noto Sans"/>
                <w:b/>
                <w:i w:val="0"/>
                <w:color w:val="FFFFFF"/>
                <w:sz w:val="18"/>
              </w:rPr>
              <w:t>État</w:t>
            </w:r>
          </w:p>
        </w:tc>
      </w:tr>
      <w:tr>
        <w:trPr>
          <w:cantSplit/>
        </w:trPr>
        <w:tc>
          <w:tcPr>
            <w:tcW w:type="dxa" w:w="1996"/>
            <w:vAlign w:val="center"/>
          </w:tcPr>
          <w:p>
            <w:pPr>
              <w:spacing w:after="40" w:before="20" w:line="252" w:lineRule="auto"/>
            </w:pPr>
            <w:r>
              <w:rPr>
                <w:rFonts w:ascii="Noto Sans" w:hAnsi="Noto Sans"/>
                <w:b/>
                <w:i w:val="0"/>
                <w:sz w:val="17"/>
              </w:rPr>
              <w:t>24 heures</w:t>
            </w:r>
          </w:p>
        </w:tc>
        <w:tc>
          <w:tcPr>
            <w:tcW w:type="dxa" w:w="1996"/>
            <w:vAlign w:val="center"/>
          </w:tcPr>
          <w:p>
            <w:pPr>
              <w:spacing w:after="40" w:before="20" w:line="252" w:lineRule="auto"/>
            </w:pPr>
            <w:r>
              <w:rPr>
                <w:rFonts w:ascii="Noto Sans" w:hAnsi="Noto Sans"/>
                <w:b w:val="0"/>
                <w:i w:val="0"/>
                <w:sz w:val="17"/>
              </w:rPr>
              <w:t>activite.mp3</w:t>
            </w:r>
          </w:p>
        </w:tc>
        <w:tc>
          <w:tcPr>
            <w:tcW w:type="dxa" w:w="1996"/>
            <w:vAlign w:val="center"/>
          </w:tcPr>
          <w:p>
            <w:pPr>
              <w:spacing w:after="40" w:before="20" w:line="252" w:lineRule="auto"/>
            </w:pPr>
            <w:r>
              <w:rPr>
                <w:rFonts w:ascii="Noto Sans" w:hAnsi="Noto Sans"/>
                <w:b w:val="0"/>
                <w:i w:val="0"/>
                <w:sz w:val="17"/>
              </w:rPr>
              <w:t>jusqu’à 90 secondes</w:t>
            </w:r>
          </w:p>
        </w:tc>
        <w:tc>
          <w:tcPr>
            <w:tcW w:type="dxa" w:w="1996"/>
            <w:vAlign w:val="center"/>
          </w:tcPr>
          <w:p>
            <w:pPr>
              <w:spacing w:after="40" w:before="20" w:line="252" w:lineRule="auto"/>
            </w:pPr>
            <w:r>
              <w:rPr>
                <w:rFonts w:ascii="Noto Sans" w:hAnsi="Noto Sans"/>
                <w:b w:val="0"/>
                <w:i w:val="0"/>
                <w:sz w:val="17"/>
              </w:rPr>
              <w:t>fermeture automatique après 90 secondes</w:t>
            </w:r>
          </w:p>
        </w:tc>
        <w:tc>
          <w:tcPr>
            <w:tcW w:type="dxa" w:w="1996"/>
            <w:vAlign w:val="center"/>
          </w:tcPr>
          <w:p>
            <w:pPr>
              <w:spacing w:after="40" w:before="20" w:line="252" w:lineRule="auto"/>
            </w:pPr>
            <w:r>
              <w:rPr>
                <w:rFonts w:ascii="Noto Sans" w:hAnsi="Noto Sans"/>
                <w:b/>
                <w:i w:val="0"/>
                <w:color w:val="2E7D32"/>
                <w:sz w:val="17"/>
              </w:rPr>
              <w:t>actif</w:t>
            </w:r>
          </w:p>
        </w:tc>
      </w:tr>
      <w:tr>
        <w:trPr>
          <w:cantSplit/>
        </w:trPr>
        <w:tc>
          <w:tcPr>
            <w:tcW w:type="dxa" w:w="1996"/>
            <w:vAlign w:val="center"/>
          </w:tcPr>
          <w:p>
            <w:pPr>
              <w:spacing w:after="40" w:before="20" w:line="252" w:lineRule="auto"/>
            </w:pPr>
            <w:r>
              <w:rPr>
                <w:rFonts w:ascii="Noto Sans" w:hAnsi="Noto Sans"/>
                <w:b/>
                <w:i w:val="0"/>
                <w:sz w:val="17"/>
              </w:rPr>
              <w:t>2 heures</w:t>
            </w:r>
          </w:p>
        </w:tc>
        <w:tc>
          <w:tcPr>
            <w:tcW w:type="dxa" w:w="1996"/>
            <w:vAlign w:val="center"/>
          </w:tcPr>
          <w:p>
            <w:pPr>
              <w:spacing w:after="40" w:before="20" w:line="252" w:lineRule="auto"/>
            </w:pPr>
            <w:r>
              <w:rPr>
                <w:rFonts w:ascii="Noto Sans" w:hAnsi="Noto Sans"/>
                <w:b w:val="0"/>
                <w:i w:val="0"/>
                <w:sz w:val="17"/>
              </w:rPr>
              <w:t>Démarrage Windows XP</w:t>
            </w:r>
          </w:p>
        </w:tc>
        <w:tc>
          <w:tcPr>
            <w:tcW w:type="dxa" w:w="1996"/>
            <w:vAlign w:val="center"/>
          </w:tcPr>
          <w:p>
            <w:pPr>
              <w:spacing w:after="40" w:before="20" w:line="252" w:lineRule="auto"/>
            </w:pPr>
            <w:r>
              <w:rPr>
                <w:rFonts w:ascii="Noto Sans" w:hAnsi="Noto Sans"/>
                <w:b w:val="0"/>
                <w:i w:val="0"/>
                <w:sz w:val="17"/>
              </w:rPr>
              <w:t>30 secondes</w:t>
            </w:r>
          </w:p>
        </w:tc>
        <w:tc>
          <w:tcPr>
            <w:tcW w:type="dxa" w:w="1996"/>
            <w:vAlign w:val="center"/>
          </w:tcPr>
          <w:p>
            <w:pPr>
              <w:spacing w:after="40" w:before="20" w:line="252" w:lineRule="auto"/>
            </w:pPr>
            <w:r>
              <w:rPr>
                <w:rFonts w:ascii="Noto Sans" w:hAnsi="Noto Sans"/>
                <w:b w:val="0"/>
                <w:i w:val="0"/>
                <w:sz w:val="17"/>
              </w:rPr>
              <w:t>fermeture automatique après 30 secondes</w:t>
            </w:r>
          </w:p>
        </w:tc>
        <w:tc>
          <w:tcPr>
            <w:tcW w:type="dxa" w:w="1996"/>
            <w:vAlign w:val="center"/>
          </w:tcPr>
          <w:p>
            <w:pPr>
              <w:spacing w:after="40" w:before="20" w:line="252" w:lineRule="auto"/>
            </w:pPr>
            <w:r>
              <w:rPr>
                <w:rFonts w:ascii="Noto Sans" w:hAnsi="Noto Sans"/>
                <w:b/>
                <w:i w:val="0"/>
                <w:color w:val="2E7D32"/>
                <w:sz w:val="17"/>
              </w:rPr>
              <w:t>actif</w:t>
            </w:r>
          </w:p>
        </w:tc>
      </w:tr>
      <w:tr>
        <w:trPr>
          <w:cantSplit/>
        </w:trPr>
        <w:tc>
          <w:tcPr>
            <w:tcW w:type="dxa" w:w="1996"/>
            <w:vAlign w:val="center"/>
          </w:tcPr>
          <w:p>
            <w:pPr>
              <w:spacing w:after="40" w:before="20" w:line="252" w:lineRule="auto"/>
            </w:pPr>
            <w:r>
              <w:rPr>
                <w:rFonts w:ascii="Noto Sans" w:hAnsi="Noto Sans"/>
                <w:b/>
                <w:i w:val="0"/>
                <w:sz w:val="17"/>
              </w:rPr>
              <w:t>1 heure</w:t>
            </w:r>
          </w:p>
        </w:tc>
        <w:tc>
          <w:tcPr>
            <w:tcW w:type="dxa" w:w="1996"/>
            <w:vAlign w:val="center"/>
          </w:tcPr>
          <w:p>
            <w:pPr>
              <w:spacing w:after="40" w:before="20" w:line="252" w:lineRule="auto"/>
            </w:pPr>
            <w:r>
              <w:rPr>
                <w:rFonts w:ascii="Noto Sans" w:hAnsi="Noto Sans"/>
                <w:b w:val="0"/>
                <w:i w:val="0"/>
                <w:sz w:val="17"/>
              </w:rPr>
              <w:t>close_combat_2.mp3</w:t>
            </w:r>
          </w:p>
        </w:tc>
        <w:tc>
          <w:tcPr>
            <w:tcW w:type="dxa" w:w="1996"/>
            <w:vAlign w:val="center"/>
          </w:tcPr>
          <w:p>
            <w:pPr>
              <w:spacing w:after="40" w:before="20" w:line="252" w:lineRule="auto"/>
            </w:pPr>
            <w:r>
              <w:rPr>
                <w:rFonts w:ascii="Noto Sans" w:hAnsi="Noto Sans"/>
                <w:b w:val="0"/>
                <w:i w:val="0"/>
                <w:sz w:val="17"/>
              </w:rPr>
              <w:t>boucle pendant 60 secondes</w:t>
            </w:r>
          </w:p>
        </w:tc>
        <w:tc>
          <w:tcPr>
            <w:tcW w:type="dxa" w:w="1996"/>
            <w:vAlign w:val="center"/>
          </w:tcPr>
          <w:p>
            <w:pPr>
              <w:spacing w:after="40" w:before="20" w:line="252" w:lineRule="auto"/>
            </w:pPr>
            <w:r>
              <w:rPr>
                <w:rFonts w:ascii="Noto Sans" w:hAnsi="Noto Sans"/>
                <w:b w:val="0"/>
                <w:i w:val="0"/>
                <w:sz w:val="17"/>
              </w:rPr>
              <w:t>persistante jusqu’à validation</w:t>
            </w:r>
          </w:p>
        </w:tc>
        <w:tc>
          <w:tcPr>
            <w:tcW w:type="dxa" w:w="1996"/>
            <w:vAlign w:val="center"/>
          </w:tcPr>
          <w:p>
            <w:pPr>
              <w:spacing w:after="40" w:before="20" w:line="252" w:lineRule="auto"/>
            </w:pPr>
            <w:r>
              <w:rPr>
                <w:rFonts w:ascii="Noto Sans" w:hAnsi="Noto Sans"/>
                <w:b/>
                <w:i w:val="0"/>
                <w:color w:val="2E7D32"/>
                <w:sz w:val="17"/>
              </w:rPr>
              <w:t>actif</w:t>
            </w:r>
          </w:p>
        </w:tc>
      </w:tr>
      <w:tr>
        <w:trPr>
          <w:cantSplit/>
        </w:trPr>
        <w:tc>
          <w:tcPr>
            <w:tcW w:type="dxa" w:w="1996"/>
            <w:vAlign w:val="center"/>
          </w:tcPr>
          <w:p>
            <w:pPr>
              <w:spacing w:after="40" w:before="20" w:line="252" w:lineRule="auto"/>
            </w:pPr>
            <w:r>
              <w:rPr>
                <w:rFonts w:ascii="Noto Sans" w:hAnsi="Noto Sans"/>
                <w:b/>
                <w:i w:val="0"/>
                <w:sz w:val="17"/>
              </w:rPr>
              <w:t>20 minutes</w:t>
            </w:r>
          </w:p>
        </w:tc>
        <w:tc>
          <w:tcPr>
            <w:tcW w:type="dxa" w:w="1996"/>
            <w:vAlign w:val="center"/>
          </w:tcPr>
          <w:p>
            <w:pPr>
              <w:spacing w:after="40" w:before="20" w:line="252" w:lineRule="auto"/>
            </w:pPr>
            <w:r>
              <w:rPr>
                <w:rFonts w:ascii="Noto Sans" w:hAnsi="Noto Sans"/>
                <w:b w:val="0"/>
                <w:i w:val="0"/>
                <w:sz w:val="17"/>
              </w:rPr>
              <w:t>tambour_marche.mp3</w:t>
            </w:r>
          </w:p>
        </w:tc>
        <w:tc>
          <w:tcPr>
            <w:tcW w:type="dxa" w:w="1996"/>
            <w:vAlign w:val="center"/>
          </w:tcPr>
          <w:p>
            <w:pPr>
              <w:spacing w:after="40" w:before="20" w:line="252" w:lineRule="auto"/>
            </w:pPr>
            <w:r>
              <w:rPr>
                <w:rFonts w:ascii="Noto Sans" w:hAnsi="Noto Sans"/>
                <w:b w:val="0"/>
                <w:i w:val="0"/>
                <w:sz w:val="17"/>
              </w:rPr>
              <w:t>boucle continue</w:t>
            </w:r>
          </w:p>
        </w:tc>
        <w:tc>
          <w:tcPr>
            <w:tcW w:type="dxa" w:w="1996"/>
            <w:vAlign w:val="center"/>
          </w:tcPr>
          <w:p>
            <w:pPr>
              <w:spacing w:after="40" w:before="20" w:line="252" w:lineRule="auto"/>
            </w:pPr>
            <w:r>
              <w:rPr>
                <w:rFonts w:ascii="Noto Sans" w:hAnsi="Noto Sans"/>
                <w:b w:val="0"/>
                <w:i w:val="0"/>
                <w:sz w:val="17"/>
              </w:rPr>
              <w:t>persistante jusqu’à validation</w:t>
            </w:r>
          </w:p>
        </w:tc>
        <w:tc>
          <w:tcPr>
            <w:tcW w:type="dxa" w:w="1996"/>
            <w:vAlign w:val="center"/>
          </w:tcPr>
          <w:p>
            <w:pPr>
              <w:spacing w:after="40" w:before="20" w:line="252" w:lineRule="auto"/>
            </w:pPr>
            <w:r>
              <w:rPr>
                <w:rFonts w:ascii="Noto Sans" w:hAnsi="Noto Sans"/>
                <w:b/>
                <w:i w:val="0"/>
                <w:color w:val="2E7D32"/>
                <w:sz w:val="17"/>
              </w:rPr>
              <w:t>actif</w:t>
            </w:r>
          </w:p>
        </w:tc>
      </w:tr>
    </w:tbl>
    <w:p>
      <w:pPr>
        <w:pStyle w:val="Heading2"/>
        <w:keepNext/>
      </w:pPr>
      <w:r>
        <w:t>4.1 Six créneaux supplémentaires</w:t>
      </w:r>
    </w:p>
    <w:p>
      <w:pPr>
        <w:pStyle w:val="BodyText"/>
      </w:pPr>
      <w:r>
        <w:rPr>
          <w:rFonts w:ascii="Noto Sans" w:hAnsi="Noto Sans"/>
          <w:b w:val="0"/>
          <w:i w:val="0"/>
          <w:sz w:val="21"/>
        </w:rPr>
        <w:t>Les créneaux 5 à 10 sont préremplis à titre d’exemple, notamment avec 12 heures, 5 heures, 4 heures, 3 heures, 30 minutes et 10 minutes. Ils restent désactivés. Vous pouvez modifier toutes ces valeurs avant de les activer.</w:t>
      </w:r>
    </w:p>
    <w:p>
      <w:pPr>
        <w:pStyle w:val="Heading2"/>
        <w:keepNext/>
      </w:pPr>
      <w:r>
        <w:t>4.2 Reports proposés pendant une alerte</w:t>
      </w:r>
    </w:p>
    <w:p>
      <w:pPr>
        <w:pStyle w:val="BodyText"/>
      </w:pPr>
      <w:r>
        <w:rPr>
          <w:rFonts w:ascii="Noto Sans" w:hAnsi="Noto Sans"/>
          <w:b w:val="0"/>
          <w:i w:val="0"/>
          <w:sz w:val="21"/>
        </w:rPr>
        <w:t>Trois boutons de report sont actifs par défaut sur toutes les alertes : « Rappeler dans 5 minutes », « Rappeler dans 15 minutes » et « Rappeler dans 1 heure ». Ils sont indépendants des délais d’alarme : cliquer sur un bouton ferme la fenêtre actuelle et fait réapparaître la même alerte après le délai choisi.</w:t>
      </w:r>
    </w:p>
    <w:p>
      <w:pPr>
        <w:pStyle w:val="Heading1"/>
        <w:keepNext/>
      </w:pPr>
      <w:r>
        <w:t>5. Personnaliser jusqu’à dix alarmes</w:t>
      </w:r>
    </w:p>
    <w:p>
      <w:pPr>
        <w:pStyle w:val="BodyText"/>
      </w:pPr>
      <w:r>
        <w:rPr>
          <w:rFonts w:ascii="Noto Sans" w:hAnsi="Noto Sans"/>
          <w:b w:val="0"/>
          <w:i w:val="0"/>
          <w:sz w:val="21"/>
        </w:rPr>
        <w:t>Faites un clic droit sur l’icône calendrier près de l’horloge, puis choisissez « Personnaliser les alarmes et l’affichage ». Vous pouvez aussi utiliser le raccourci « Personnaliser Alerte Agenda » créé sur le Bureau.</w:t>
      </w:r>
    </w:p>
    <w:p>
      <w:pPr>
        <w:pStyle w:val="Heading2"/>
        <w:keepNext/>
      </w:pPr>
      <w:r>
        <w:t>5.1 Signification de chaque colonne</w:t>
      </w:r>
    </w:p>
    <w:tbl>
      <w:tblPr>
        <w:tblStyle w:val="TableGrid"/>
        <w:tblW w:type="auto" w:w="0"/>
        <w:jc w:val="center"/>
        <w:tblLook w:firstColumn="1" w:firstRow="1" w:lastColumn="0" w:lastRow="0" w:noHBand="0" w:noVBand="1" w:val="04A0"/>
      </w:tblPr>
      <w:tblGrid>
        <w:gridCol w:w="4989"/>
        <w:gridCol w:w="4989"/>
      </w:tblGrid>
      <w:tr>
        <w:trPr>
          <w:tblHeader w:val="true"/>
          <w:cantSplit/>
        </w:trPr>
        <w:tc>
          <w:tcPr>
            <w:tcW w:type="dxa" w:w="4989"/>
            <w:shd w:fill="123A5A"/>
            <w:vAlign w:val="center"/>
          </w:tcPr>
          <w:p>
            <w:pPr>
              <w:spacing w:after="40" w:before="20" w:line="252" w:lineRule="auto"/>
            </w:pPr>
            <w:r>
              <w:rPr>
                <w:rFonts w:ascii="Noto Sans" w:hAnsi="Noto Sans"/>
                <w:b/>
                <w:i w:val="0"/>
                <w:color w:val="FFFFFF"/>
                <w:sz w:val="19"/>
              </w:rPr>
              <w:t>Colonne</w:t>
            </w:r>
          </w:p>
        </w:tc>
        <w:tc>
          <w:tcPr>
            <w:tcW w:type="dxa" w:w="4989"/>
            <w:shd w:fill="123A5A"/>
            <w:vAlign w:val="center"/>
          </w:tcPr>
          <w:p>
            <w:pPr>
              <w:spacing w:after="40" w:before="20" w:line="252" w:lineRule="auto"/>
            </w:pPr>
            <w:r>
              <w:rPr>
                <w:rFonts w:ascii="Noto Sans" w:hAnsi="Noto Sans"/>
                <w:b/>
                <w:i w:val="0"/>
                <w:color w:val="FFFFFF"/>
                <w:sz w:val="19"/>
              </w:rPr>
              <w:t>Fonction</w:t>
            </w:r>
          </w:p>
        </w:tc>
      </w:tr>
      <w:tr>
        <w:trPr>
          <w:cantSplit/>
        </w:trPr>
        <w:tc>
          <w:tcPr>
            <w:tcW w:type="dxa" w:w="4989"/>
            <w:vAlign w:val="center"/>
          </w:tcPr>
          <w:p>
            <w:pPr>
              <w:spacing w:after="40" w:before="20" w:line="252" w:lineRule="auto"/>
            </w:pPr>
            <w:r>
              <w:rPr>
                <w:rFonts w:ascii="Noto Sans" w:hAnsi="Noto Sans"/>
                <w:b/>
                <w:i w:val="0"/>
                <w:color w:val="1E5A8A"/>
                <w:sz w:val="18"/>
              </w:rPr>
              <w:t>Actif</w:t>
            </w:r>
          </w:p>
        </w:tc>
        <w:tc>
          <w:tcPr>
            <w:tcW w:type="dxa" w:w="4989"/>
            <w:vAlign w:val="center"/>
          </w:tcPr>
          <w:p>
            <w:pPr>
              <w:spacing w:after="40" w:before="20" w:line="252" w:lineRule="auto"/>
            </w:pPr>
            <w:r>
              <w:rPr>
                <w:rFonts w:ascii="Noto Sans" w:hAnsi="Noto Sans"/>
                <w:b w:val="0"/>
                <w:i w:val="0"/>
                <w:sz w:val="18"/>
              </w:rPr>
              <w:t>active ou désactive le créneau sans supprimer ses réglages.</w:t>
            </w:r>
          </w:p>
        </w:tc>
      </w:tr>
      <w:tr>
        <w:trPr>
          <w:cantSplit/>
        </w:trPr>
        <w:tc>
          <w:tcPr>
            <w:tcW w:type="dxa" w:w="4989"/>
            <w:vAlign w:val="center"/>
          </w:tcPr>
          <w:p>
            <w:pPr>
              <w:spacing w:after="40" w:before="20" w:line="252" w:lineRule="auto"/>
            </w:pPr>
            <w:r>
              <w:rPr>
                <w:rFonts w:ascii="Noto Sans" w:hAnsi="Noto Sans"/>
                <w:b/>
                <w:i w:val="0"/>
                <w:color w:val="1E5A8A"/>
                <w:sz w:val="18"/>
              </w:rPr>
              <w:t>Valeur</w:t>
            </w:r>
          </w:p>
        </w:tc>
        <w:tc>
          <w:tcPr>
            <w:tcW w:type="dxa" w:w="4989"/>
            <w:vAlign w:val="center"/>
          </w:tcPr>
          <w:p>
            <w:pPr>
              <w:spacing w:after="40" w:before="20" w:line="252" w:lineRule="auto"/>
            </w:pPr>
            <w:r>
              <w:rPr>
                <w:rFonts w:ascii="Noto Sans" w:hAnsi="Noto Sans"/>
                <w:b w:val="0"/>
                <w:i w:val="0"/>
                <w:sz w:val="18"/>
              </w:rPr>
              <w:t>nombre placé avant l’unité : 10, 20, 1, 12, etc.</w:t>
            </w:r>
          </w:p>
        </w:tc>
      </w:tr>
      <w:tr>
        <w:trPr>
          <w:cantSplit/>
        </w:trPr>
        <w:tc>
          <w:tcPr>
            <w:tcW w:type="dxa" w:w="4989"/>
            <w:vAlign w:val="center"/>
          </w:tcPr>
          <w:p>
            <w:pPr>
              <w:spacing w:after="40" w:before="20" w:line="252" w:lineRule="auto"/>
            </w:pPr>
            <w:r>
              <w:rPr>
                <w:rFonts w:ascii="Noto Sans" w:hAnsi="Noto Sans"/>
                <w:b/>
                <w:i w:val="0"/>
                <w:color w:val="1E5A8A"/>
                <w:sz w:val="18"/>
              </w:rPr>
              <w:t>Unité</w:t>
            </w:r>
          </w:p>
        </w:tc>
        <w:tc>
          <w:tcPr>
            <w:tcW w:type="dxa" w:w="4989"/>
            <w:vAlign w:val="center"/>
          </w:tcPr>
          <w:p>
            <w:pPr>
              <w:spacing w:after="40" w:before="20" w:line="252" w:lineRule="auto"/>
            </w:pPr>
            <w:r>
              <w:rPr>
                <w:rFonts w:ascii="Noto Sans" w:hAnsi="Noto Sans"/>
                <w:b w:val="0"/>
                <w:i w:val="0"/>
                <w:sz w:val="18"/>
              </w:rPr>
              <w:t>minutes, heures ou jours.</w:t>
            </w:r>
          </w:p>
        </w:tc>
      </w:tr>
      <w:tr>
        <w:trPr>
          <w:cantSplit/>
        </w:trPr>
        <w:tc>
          <w:tcPr>
            <w:tcW w:type="dxa" w:w="4989"/>
            <w:vAlign w:val="center"/>
          </w:tcPr>
          <w:p>
            <w:pPr>
              <w:spacing w:after="40" w:before="20" w:line="252" w:lineRule="auto"/>
            </w:pPr>
            <w:r>
              <w:rPr>
                <w:rFonts w:ascii="Noto Sans" w:hAnsi="Noto Sans"/>
                <w:b/>
                <w:i w:val="0"/>
                <w:color w:val="1E5A8A"/>
                <w:sz w:val="18"/>
              </w:rPr>
              <w:t>Fichier sonore</w:t>
            </w:r>
          </w:p>
        </w:tc>
        <w:tc>
          <w:tcPr>
            <w:tcW w:type="dxa" w:w="4989"/>
            <w:vAlign w:val="center"/>
          </w:tcPr>
          <w:p>
            <w:pPr>
              <w:spacing w:after="40" w:before="20" w:line="252" w:lineRule="auto"/>
            </w:pPr>
            <w:r>
              <w:rPr>
                <w:rFonts w:ascii="Noto Sans" w:hAnsi="Noto Sans"/>
                <w:b w:val="0"/>
                <w:i w:val="0"/>
                <w:sz w:val="18"/>
              </w:rPr>
              <w:t>chemin du fichier MP3, WAV, WMA, MID ou MIDI.</w:t>
            </w:r>
          </w:p>
        </w:tc>
      </w:tr>
      <w:tr>
        <w:trPr>
          <w:cantSplit/>
        </w:trPr>
        <w:tc>
          <w:tcPr>
            <w:tcW w:type="dxa" w:w="4989"/>
            <w:vAlign w:val="center"/>
          </w:tcPr>
          <w:p>
            <w:pPr>
              <w:spacing w:after="40" w:before="20" w:line="252" w:lineRule="auto"/>
            </w:pPr>
            <w:r>
              <w:rPr>
                <w:rFonts w:ascii="Noto Sans" w:hAnsi="Noto Sans"/>
                <w:b/>
                <w:i w:val="0"/>
                <w:color w:val="1E5A8A"/>
                <w:sz w:val="18"/>
              </w:rPr>
              <w:t>Parcourir</w:t>
            </w:r>
          </w:p>
        </w:tc>
        <w:tc>
          <w:tcPr>
            <w:tcW w:type="dxa" w:w="4989"/>
            <w:vAlign w:val="center"/>
          </w:tcPr>
          <w:p>
            <w:pPr>
              <w:spacing w:after="40" w:before="20" w:line="252" w:lineRule="auto"/>
            </w:pPr>
            <w:r>
              <w:rPr>
                <w:rFonts w:ascii="Noto Sans" w:hAnsi="Noto Sans"/>
                <w:b w:val="0"/>
                <w:i w:val="0"/>
                <w:sz w:val="18"/>
              </w:rPr>
              <w:t>ouvre une fenêtre permettant de choisir un autre son.</w:t>
            </w:r>
          </w:p>
        </w:tc>
      </w:tr>
      <w:tr>
        <w:trPr>
          <w:cantSplit/>
        </w:trPr>
        <w:tc>
          <w:tcPr>
            <w:tcW w:type="dxa" w:w="4989"/>
            <w:vAlign w:val="center"/>
          </w:tcPr>
          <w:p>
            <w:pPr>
              <w:spacing w:after="40" w:before="20" w:line="252" w:lineRule="auto"/>
            </w:pPr>
            <w:r>
              <w:rPr>
                <w:rFonts w:ascii="Noto Sans" w:hAnsi="Noto Sans"/>
                <w:b/>
                <w:i w:val="0"/>
                <w:color w:val="1E5A8A"/>
                <w:sz w:val="18"/>
              </w:rPr>
              <w:t>Boucle</w:t>
            </w:r>
          </w:p>
        </w:tc>
        <w:tc>
          <w:tcPr>
            <w:tcW w:type="dxa" w:w="4989"/>
            <w:vAlign w:val="center"/>
          </w:tcPr>
          <w:p>
            <w:pPr>
              <w:spacing w:after="40" w:before="20" w:line="252" w:lineRule="auto"/>
            </w:pPr>
            <w:r>
              <w:rPr>
                <w:rFonts w:ascii="Noto Sans" w:hAnsi="Noto Sans"/>
                <w:b w:val="0"/>
                <w:i w:val="0"/>
                <w:sz w:val="18"/>
              </w:rPr>
              <w:t>recommence le son lorsqu’il arrive à sa fin.</w:t>
            </w:r>
          </w:p>
        </w:tc>
      </w:tr>
      <w:tr>
        <w:trPr>
          <w:cantSplit/>
        </w:trPr>
        <w:tc>
          <w:tcPr>
            <w:tcW w:type="dxa" w:w="4989"/>
            <w:vAlign w:val="center"/>
          </w:tcPr>
          <w:p>
            <w:pPr>
              <w:spacing w:after="40" w:before="20" w:line="252" w:lineRule="auto"/>
            </w:pPr>
            <w:r>
              <w:rPr>
                <w:rFonts w:ascii="Noto Sans" w:hAnsi="Noto Sans"/>
                <w:b/>
                <w:i w:val="0"/>
                <w:color w:val="1E5A8A"/>
                <w:sz w:val="18"/>
              </w:rPr>
              <w:t>Durée et unité du son</w:t>
            </w:r>
          </w:p>
        </w:tc>
        <w:tc>
          <w:tcPr>
            <w:tcW w:type="dxa" w:w="4989"/>
            <w:vAlign w:val="center"/>
          </w:tcPr>
          <w:p>
            <w:pPr>
              <w:spacing w:after="40" w:before="20" w:line="252" w:lineRule="auto"/>
            </w:pPr>
            <w:r>
              <w:rPr>
                <w:rFonts w:ascii="Noto Sans" w:hAnsi="Noto Sans"/>
                <w:b w:val="0"/>
                <w:i w:val="0"/>
                <w:sz w:val="18"/>
              </w:rPr>
              <w:t>durée maximale définie par une valeur et une unité : secondes, minutes, heures ou jusqu’à fermeture.</w:t>
            </w:r>
          </w:p>
        </w:tc>
      </w:tr>
      <w:tr>
        <w:trPr>
          <w:cantSplit/>
        </w:trPr>
        <w:tc>
          <w:tcPr>
            <w:tcW w:type="dxa" w:w="4989"/>
            <w:vAlign w:val="center"/>
          </w:tcPr>
          <w:p>
            <w:pPr>
              <w:spacing w:after="40" w:before="20" w:line="252" w:lineRule="auto"/>
            </w:pPr>
            <w:r>
              <w:rPr>
                <w:rFonts w:ascii="Noto Sans" w:hAnsi="Noto Sans"/>
                <w:b/>
                <w:i w:val="0"/>
                <w:color w:val="1E5A8A"/>
                <w:sz w:val="18"/>
              </w:rPr>
              <w:t>Volume %</w:t>
            </w:r>
          </w:p>
        </w:tc>
        <w:tc>
          <w:tcPr>
            <w:tcW w:type="dxa" w:w="4989"/>
            <w:vAlign w:val="center"/>
          </w:tcPr>
          <w:p>
            <w:pPr>
              <w:spacing w:after="40" w:before="20" w:line="252" w:lineRule="auto"/>
            </w:pPr>
            <w:r>
              <w:rPr>
                <w:rFonts w:ascii="Noto Sans" w:hAnsi="Noto Sans"/>
                <w:b w:val="0"/>
                <w:i w:val="0"/>
                <w:sz w:val="18"/>
              </w:rPr>
              <w:t>niveau sonore de 0 à 100 pour les formats audio ordinaires.</w:t>
            </w:r>
          </w:p>
        </w:tc>
      </w:tr>
      <w:tr>
        <w:trPr>
          <w:cantSplit/>
        </w:trPr>
        <w:tc>
          <w:tcPr>
            <w:tcW w:type="dxa" w:w="4989"/>
            <w:vAlign w:val="center"/>
          </w:tcPr>
          <w:p>
            <w:pPr>
              <w:spacing w:after="40" w:before="20" w:line="252" w:lineRule="auto"/>
            </w:pPr>
            <w:r>
              <w:rPr>
                <w:rFonts w:ascii="Noto Sans" w:hAnsi="Noto Sans"/>
                <w:b/>
                <w:i w:val="0"/>
                <w:color w:val="1E5A8A"/>
                <w:sz w:val="18"/>
              </w:rPr>
              <w:t>Persistante</w:t>
            </w:r>
          </w:p>
        </w:tc>
        <w:tc>
          <w:tcPr>
            <w:tcW w:type="dxa" w:w="4989"/>
            <w:vAlign w:val="center"/>
          </w:tcPr>
          <w:p>
            <w:pPr>
              <w:spacing w:after="40" w:before="20" w:line="252" w:lineRule="auto"/>
            </w:pPr>
            <w:r>
              <w:rPr>
                <w:rFonts w:ascii="Noto Sans" w:hAnsi="Noto Sans"/>
                <w:b w:val="0"/>
                <w:i w:val="0"/>
                <w:sz w:val="18"/>
              </w:rPr>
              <w:t>maintient la fenêtre à l’écran jusqu’à une action volontaire.</w:t>
            </w:r>
          </w:p>
        </w:tc>
      </w:tr>
      <w:tr>
        <w:trPr>
          <w:cantSplit/>
        </w:trPr>
        <w:tc>
          <w:tcPr>
            <w:tcW w:type="dxa" w:w="4989"/>
            <w:vAlign w:val="center"/>
          </w:tcPr>
          <w:p>
            <w:pPr>
              <w:spacing w:after="40" w:before="20" w:line="252" w:lineRule="auto"/>
            </w:pPr>
            <w:r>
              <w:rPr>
                <w:rFonts w:ascii="Noto Sans" w:hAnsi="Noto Sans"/>
                <w:b/>
                <w:i w:val="0"/>
                <w:color w:val="1E5A8A"/>
                <w:sz w:val="18"/>
              </w:rPr>
              <w:t>Fermeture auto (s)</w:t>
            </w:r>
          </w:p>
        </w:tc>
        <w:tc>
          <w:tcPr>
            <w:tcW w:type="dxa" w:w="4989"/>
            <w:vAlign w:val="center"/>
          </w:tcPr>
          <w:p>
            <w:pPr>
              <w:spacing w:after="40" w:before="20" w:line="252" w:lineRule="auto"/>
            </w:pPr>
            <w:r>
              <w:rPr>
                <w:rFonts w:ascii="Noto Sans" w:hAnsi="Noto Sans"/>
                <w:b w:val="0"/>
                <w:i w:val="0"/>
                <w:sz w:val="18"/>
              </w:rPr>
              <w:t>durée avant disparition automatique ; 0 correspond à une fenêtre persistante.</w:t>
            </w:r>
          </w:p>
        </w:tc>
      </w:tr>
      <w:tr>
        <w:trPr>
          <w:cantSplit/>
        </w:trPr>
        <w:tc>
          <w:tcPr>
            <w:tcW w:type="dxa" w:w="4989"/>
            <w:vAlign w:val="center"/>
          </w:tcPr>
          <w:p>
            <w:pPr>
              <w:spacing w:after="40" w:before="20" w:line="252" w:lineRule="auto"/>
            </w:pPr>
            <w:r>
              <w:rPr>
                <w:rFonts w:ascii="Noto Sans" w:hAnsi="Noto Sans"/>
                <w:b/>
                <w:i w:val="0"/>
                <w:color w:val="1E5A8A"/>
                <w:sz w:val="18"/>
              </w:rPr>
              <w:t>Couleur #RRGGBB</w:t>
            </w:r>
          </w:p>
        </w:tc>
        <w:tc>
          <w:tcPr>
            <w:tcW w:type="dxa" w:w="4989"/>
            <w:vAlign w:val="center"/>
          </w:tcPr>
          <w:p>
            <w:pPr>
              <w:spacing w:after="40" w:before="20" w:line="252" w:lineRule="auto"/>
            </w:pPr>
            <w:r>
              <w:rPr>
                <w:rFonts w:ascii="Noto Sans" w:hAnsi="Noto Sans"/>
                <w:b w:val="0"/>
                <w:i w:val="0"/>
                <w:sz w:val="18"/>
              </w:rPr>
              <w:t>couleur de l’alerte exprimée en code hexadécimal, par exemple #5A0000 pour un rouge sombre.</w:t>
            </w:r>
          </w:p>
        </w:tc>
      </w:tr>
    </w:tbl>
    <w:p>
      <w:pPr>
        <w:pStyle w:val="Heading2"/>
        <w:keepNext/>
      </w:pPr>
      <w:r>
        <w:t>5.2 Exemple : remplacer 20 minutes par 10 minutes</w:t>
      </w:r>
    </w:p>
    <w:p>
      <w:pPr>
        <w:pStyle w:val="BodyText"/>
        <w:ind w:left="198" w:hanging="198"/>
      </w:pPr>
      <w:r>
        <w:rPr>
          <w:rFonts w:ascii="Noto Sans" w:hAnsi="Noto Sans"/>
          <w:b/>
          <w:i w:val="0"/>
          <w:color w:val="123A5A"/>
          <w:sz w:val="21"/>
        </w:rPr>
        <w:t>1.</w:t>
      </w:r>
      <w:r>
        <w:rPr>
          <w:rFonts w:ascii="Noto Sans" w:hAnsi="Noto Sans"/>
          <w:b w:val="0"/>
          <w:i w:val="0"/>
          <w:sz w:val="21"/>
        </w:rPr>
        <w:t xml:space="preserve">  Ouvrez « Personnaliser les alarmes et l’affichage ».</w:t>
      </w:r>
    </w:p>
    <w:p>
      <w:pPr>
        <w:pStyle w:val="BodyText"/>
        <w:ind w:left="198" w:hanging="198"/>
      </w:pPr>
      <w:r>
        <w:rPr>
          <w:rFonts w:ascii="Noto Sans" w:hAnsi="Noto Sans"/>
          <w:b/>
          <w:i w:val="0"/>
          <w:color w:val="123A5A"/>
          <w:sz w:val="21"/>
        </w:rPr>
        <w:t>2.</w:t>
      </w:r>
      <w:r>
        <w:rPr>
          <w:rFonts w:ascii="Noto Sans" w:hAnsi="Noto Sans"/>
          <w:b w:val="0"/>
          <w:i w:val="0"/>
          <w:sz w:val="21"/>
        </w:rPr>
        <w:t xml:space="preserve">  Repérez le créneau actuellement réglé sur 20 minutes.</w:t>
      </w:r>
    </w:p>
    <w:p>
      <w:pPr>
        <w:pStyle w:val="BodyText"/>
        <w:ind w:left="198" w:hanging="198"/>
      </w:pPr>
      <w:r>
        <w:rPr>
          <w:rFonts w:ascii="Noto Sans" w:hAnsi="Noto Sans"/>
          <w:b/>
          <w:i w:val="0"/>
          <w:color w:val="123A5A"/>
          <w:sz w:val="21"/>
        </w:rPr>
        <w:t>3.</w:t>
      </w:r>
      <w:r>
        <w:rPr>
          <w:rFonts w:ascii="Noto Sans" w:hAnsi="Noto Sans"/>
          <w:b w:val="0"/>
          <w:i w:val="0"/>
          <w:sz w:val="21"/>
        </w:rPr>
        <w:t xml:space="preserve">  Remplacez la valeur 20 par 10 et conservez l’unité « Minutes ».</w:t>
      </w:r>
    </w:p>
    <w:p>
      <w:pPr>
        <w:pStyle w:val="BodyText"/>
        <w:ind w:left="198" w:hanging="198"/>
      </w:pPr>
      <w:r>
        <w:rPr>
          <w:rFonts w:ascii="Noto Sans" w:hAnsi="Noto Sans"/>
          <w:b/>
          <w:i w:val="0"/>
          <w:color w:val="123A5A"/>
          <w:sz w:val="21"/>
        </w:rPr>
        <w:t>4.</w:t>
      </w:r>
      <w:r>
        <w:rPr>
          <w:rFonts w:ascii="Noto Sans" w:hAnsi="Noto Sans"/>
          <w:b w:val="0"/>
          <w:i w:val="0"/>
          <w:sz w:val="21"/>
        </w:rPr>
        <w:t xml:space="preserve">  Cliquez sur « Enregistrer et relancer ».</w:t>
      </w:r>
    </w:p>
    <w:p>
      <w:pPr>
        <w:pStyle w:val="BodyText"/>
      </w:pPr>
      <w:r>
        <w:rPr>
          <w:rFonts w:ascii="Noto Sans" w:hAnsi="Noto Sans"/>
          <w:b w:val="0"/>
          <w:i w:val="0"/>
          <w:sz w:val="21"/>
        </w:rPr>
        <w:t>Après le redémarrage, le sous-menu « Tester une alarme » affiche automatiquement « Test 10 minutes » à la place de « Test 20 minutes ». Le texte de la grande fenêtre est également adapté.</w:t>
      </w:r>
    </w:p>
    <w:p>
      <w:pPr>
        <w:pStyle w:val="Heading2"/>
        <w:keepNext/>
      </w:pPr>
      <w:r>
        <w:t>5.3 Exemple : ajouter une alarme à 12 heures</w:t>
      </w:r>
    </w:p>
    <w:p>
      <w:pPr>
        <w:pStyle w:val="BodyText"/>
        <w:ind w:left="198" w:hanging="198"/>
      </w:pPr>
      <w:r>
        <w:rPr>
          <w:rFonts w:ascii="Noto Sans" w:hAnsi="Noto Sans"/>
          <w:b/>
          <w:i w:val="0"/>
          <w:color w:val="123A5A"/>
          <w:sz w:val="21"/>
        </w:rPr>
        <w:t>1.</w:t>
      </w:r>
      <w:r>
        <w:rPr>
          <w:rFonts w:ascii="Noto Sans" w:hAnsi="Noto Sans"/>
          <w:b w:val="0"/>
          <w:i w:val="0"/>
          <w:sz w:val="21"/>
        </w:rPr>
        <w:t xml:space="preserve">  Activez le créneau 5, déjà préconfiguré à 12 heures, ou choisissez un autre créneau désactivé.</w:t>
      </w:r>
    </w:p>
    <w:p>
      <w:pPr>
        <w:pStyle w:val="BodyText"/>
        <w:ind w:left="198" w:hanging="198"/>
      </w:pPr>
      <w:r>
        <w:rPr>
          <w:rFonts w:ascii="Noto Sans" w:hAnsi="Noto Sans"/>
          <w:b/>
          <w:i w:val="0"/>
          <w:color w:val="123A5A"/>
          <w:sz w:val="21"/>
        </w:rPr>
        <w:t>2.</w:t>
      </w:r>
      <w:r>
        <w:rPr>
          <w:rFonts w:ascii="Noto Sans" w:hAnsi="Noto Sans"/>
          <w:b w:val="0"/>
          <w:i w:val="0"/>
          <w:sz w:val="21"/>
        </w:rPr>
        <w:t xml:space="preserve">  Choisissez le son, le volume, la durée et le comportement de la fenêtre.</w:t>
      </w:r>
    </w:p>
    <w:p>
      <w:pPr>
        <w:pStyle w:val="BodyText"/>
        <w:ind w:left="198" w:hanging="198"/>
      </w:pPr>
      <w:r>
        <w:rPr>
          <w:rFonts w:ascii="Noto Sans" w:hAnsi="Noto Sans"/>
          <w:b/>
          <w:i w:val="0"/>
          <w:color w:val="123A5A"/>
          <w:sz w:val="21"/>
        </w:rPr>
        <w:t>3.</w:t>
      </w:r>
      <w:r>
        <w:rPr>
          <w:rFonts w:ascii="Noto Sans" w:hAnsi="Noto Sans"/>
          <w:b w:val="0"/>
          <w:i w:val="0"/>
          <w:sz w:val="21"/>
        </w:rPr>
        <w:t xml:space="preserve">  Enregistrez. Le nouveau créneau rejoint immédiatement les alarmes surveillées et le menu de test.</w:t>
      </w:r>
    </w:p>
    <w:tbl>
      <w:tblPr>
        <w:tblW w:type="auto" w:w="0"/>
        <w:jc w:val="center"/>
        <w:tblLayout w:type="fixed"/>
        <w:tblLook w:firstColumn="1" w:firstRow="1" w:lastColumn="0" w:lastRow="0" w:noHBand="0" w:noVBand="1" w:val="04A0"/>
      </w:tblPr>
      <w:tblGrid>
        <w:gridCol w:w="9468"/>
      </w:tblGrid>
      <w:tr>
        <w:trPr>
          <w:cantSplit/>
        </w:trPr>
        <w:tc>
          <w:tcPr>
            <w:tcW w:type="dxa" w:w="9978"/>
            <w:shd w:fill="EAF3FA"/>
            <w:tcBorders>
              <w:top w:val="single" w:sz="4" w:color="EAF3FA"/>
              <w:left w:val="single" w:sz="18" w:color="1E5A8A"/>
              <w:bottom w:val="single" w:sz="4" w:color="EAF3FA"/>
              <w:right w:val="single" w:sz="4" w:color="EAF3FA"/>
            </w:tcBorders>
            <w:vAlign w:val="center"/>
          </w:tcPr>
          <w:p>
            <w:pPr>
              <w:spacing w:before="20" w:after="40" w:line="252" w:lineRule="auto"/>
            </w:pPr>
            <w:r>
              <w:rPr>
                <w:rFonts w:ascii="Noto Sans" w:hAnsi="Noto Sans"/>
                <w:b/>
                <w:i w:val="0"/>
                <w:color w:val="1E5A8A"/>
                <w:sz w:val="23"/>
              </w:rPr>
              <w:t>Maximum et doublons</w:t>
            </w:r>
          </w:p>
          <w:p>
            <w:pPr>
              <w:spacing w:before="20" w:after="40" w:line="252" w:lineRule="auto"/>
            </w:pPr>
            <w:r>
              <w:rPr>
                <w:rFonts w:ascii="Noto Sans" w:hAnsi="Noto Sans"/>
                <w:b w:val="0"/>
                <w:i w:val="0"/>
                <w:sz w:val="20"/>
              </w:rPr>
              <w:t>Dix créneaux sont disponibles. Le logiciel refuse deux alarmes actives ayant exactement le même délai, afin d’éviter des alertes en double.</w:t>
            </w:r>
          </w:p>
        </w:tc>
      </w:tr>
    </w:tbl>
    <w:p>
      <w:pPr>
        <w:spacing w:after="0"/>
      </w:pPr>
    </w:p>
    <w:p>
      <w:pPr>
        <w:pStyle w:val="Heading1"/>
        <w:keepNext/>
      </w:pPr>
      <w:r>
        <w:t>6. Personnaliser les trois boutons de rappel</w:t>
      </w:r>
    </w:p>
    <w:p>
      <w:pPr>
        <w:pStyle w:val="BodyText"/>
      </w:pPr>
      <w:r>
        <w:rPr>
          <w:rFonts w:ascii="Noto Sans" w:hAnsi="Noto Sans"/>
          <w:b w:val="0"/>
          <w:i w:val="0"/>
          <w:sz w:val="21"/>
        </w:rPr>
        <w:t>Ouvrez « Personnaliser les alarmes et l’affichage », puis sélectionnez l’onglet « Boutons de rappel ». Ces trois réglages sont globaux : ils s’appliquent à toutes les alarmes, quel que soit le créneau qui a déclenché la fenêtre.</w:t>
      </w:r>
    </w:p>
    <w:p>
      <w:pPr>
        <w:pStyle w:val="Heading2"/>
        <w:keepNext/>
      </w:pPr>
      <w:r>
        <w:t>6.1 Réglages par défaut</w:t>
      </w:r>
    </w:p>
    <w:tbl>
      <w:tblPr>
        <w:tblStyle w:val="TableGrid"/>
        <w:tblW w:type="auto" w:w="0"/>
        <w:jc w:val="center"/>
        <w:tblLook w:firstColumn="1" w:firstRow="1" w:lastColumn="0" w:lastRow="0" w:noHBand="0" w:noVBand="1" w:val="04A0"/>
      </w:tblPr>
      <w:tblGrid>
        <w:gridCol w:w="2494"/>
        <w:gridCol w:w="2494"/>
        <w:gridCol w:w="2494"/>
        <w:gridCol w:w="2494"/>
      </w:tblGrid>
      <w:tr>
        <w:trPr>
          <w:tblHeader w:val="true"/>
          <w:cantSplit/>
        </w:trPr>
        <w:tc>
          <w:tcPr>
            <w:tcW w:type="dxa" w:w="2494"/>
            <w:shd w:fill="123A5A"/>
            <w:vAlign w:val="center"/>
          </w:tcPr>
          <w:p>
            <w:pPr>
              <w:spacing w:after="40" w:before="20" w:line="252" w:lineRule="auto"/>
            </w:pPr>
            <w:r>
              <w:rPr>
                <w:rFonts w:ascii="Noto Sans" w:hAnsi="Noto Sans"/>
                <w:b/>
                <w:i w:val="0"/>
                <w:color w:val="FFFFFF"/>
                <w:sz w:val="18"/>
              </w:rPr>
              <w:t>Bouton</w:t>
            </w:r>
          </w:p>
        </w:tc>
        <w:tc>
          <w:tcPr>
            <w:tcW w:type="dxa" w:w="2494"/>
            <w:shd w:fill="123A5A"/>
            <w:vAlign w:val="center"/>
          </w:tcPr>
          <w:p>
            <w:pPr>
              <w:spacing w:after="40" w:before="20" w:line="252" w:lineRule="auto"/>
            </w:pPr>
            <w:r>
              <w:rPr>
                <w:rFonts w:ascii="Noto Sans" w:hAnsi="Noto Sans"/>
                <w:b/>
                <w:i w:val="0"/>
                <w:color w:val="FFFFFF"/>
                <w:sz w:val="18"/>
              </w:rPr>
              <w:t>Actif</w:t>
            </w:r>
          </w:p>
        </w:tc>
        <w:tc>
          <w:tcPr>
            <w:tcW w:type="dxa" w:w="2494"/>
            <w:shd w:fill="123A5A"/>
            <w:vAlign w:val="center"/>
          </w:tcPr>
          <w:p>
            <w:pPr>
              <w:spacing w:after="40" w:before="20" w:line="252" w:lineRule="auto"/>
            </w:pPr>
            <w:r>
              <w:rPr>
                <w:rFonts w:ascii="Noto Sans" w:hAnsi="Noto Sans"/>
                <w:b/>
                <w:i w:val="0"/>
                <w:color w:val="FFFFFF"/>
                <w:sz w:val="18"/>
              </w:rPr>
              <w:t>Valeur</w:t>
            </w:r>
          </w:p>
        </w:tc>
        <w:tc>
          <w:tcPr>
            <w:tcW w:type="dxa" w:w="2494"/>
            <w:shd w:fill="123A5A"/>
            <w:vAlign w:val="center"/>
          </w:tcPr>
          <w:p>
            <w:pPr>
              <w:spacing w:after="40" w:before="20" w:line="252" w:lineRule="auto"/>
            </w:pPr>
            <w:r>
              <w:rPr>
                <w:rFonts w:ascii="Noto Sans" w:hAnsi="Noto Sans"/>
                <w:b/>
                <w:i w:val="0"/>
                <w:color w:val="FFFFFF"/>
                <w:sz w:val="18"/>
              </w:rPr>
              <w:t>Libellé affiché</w:t>
            </w:r>
          </w:p>
        </w:tc>
      </w:tr>
      <w:tr>
        <w:trPr>
          <w:cantSplit/>
        </w:trPr>
        <w:tc>
          <w:tcPr>
            <w:tcW w:type="dxa" w:w="2494"/>
            <w:vAlign w:val="center"/>
          </w:tcPr>
          <w:p>
            <w:pPr>
              <w:spacing w:after="40" w:before="20" w:line="252" w:lineRule="auto"/>
            </w:pPr>
            <w:r>
              <w:rPr>
                <w:rFonts w:ascii="Noto Sans" w:hAnsi="Noto Sans"/>
                <w:b/>
                <w:i w:val="0"/>
                <w:sz w:val="18"/>
              </w:rPr>
              <w:t>1</w:t>
            </w:r>
          </w:p>
        </w:tc>
        <w:tc>
          <w:tcPr>
            <w:tcW w:type="dxa" w:w="2494"/>
            <w:vAlign w:val="center"/>
          </w:tcPr>
          <w:p>
            <w:pPr>
              <w:spacing w:after="40" w:before="20" w:line="252" w:lineRule="auto"/>
            </w:pPr>
            <w:r>
              <w:rPr>
                <w:rFonts w:ascii="Noto Sans" w:hAnsi="Noto Sans"/>
                <w:b w:val="0"/>
                <w:i w:val="0"/>
                <w:color w:val="2E7D32"/>
                <w:sz w:val="18"/>
              </w:rPr>
              <w:t>oui</w:t>
            </w:r>
          </w:p>
        </w:tc>
        <w:tc>
          <w:tcPr>
            <w:tcW w:type="dxa" w:w="2494"/>
            <w:vAlign w:val="center"/>
          </w:tcPr>
          <w:p>
            <w:pPr>
              <w:spacing w:after="40" w:before="20" w:line="252" w:lineRule="auto"/>
            </w:pPr>
            <w:r>
              <w:rPr>
                <w:rFonts w:ascii="Noto Sans" w:hAnsi="Noto Sans"/>
                <w:b w:val="0"/>
                <w:i w:val="0"/>
                <w:sz w:val="18"/>
              </w:rPr>
              <w:t>5 minutes</w:t>
            </w:r>
          </w:p>
        </w:tc>
        <w:tc>
          <w:tcPr>
            <w:tcW w:type="dxa" w:w="2494"/>
            <w:vAlign w:val="center"/>
          </w:tcPr>
          <w:p>
            <w:pPr>
              <w:spacing w:after="40" w:before="20" w:line="252" w:lineRule="auto"/>
            </w:pPr>
            <w:r>
              <w:rPr>
                <w:rFonts w:ascii="Noto Sans" w:hAnsi="Noto Sans"/>
                <w:b/>
                <w:i w:val="0"/>
                <w:sz w:val="18"/>
              </w:rPr>
              <w:t>RAPPELER DANS 5 MINUTES</w:t>
            </w:r>
          </w:p>
        </w:tc>
      </w:tr>
      <w:tr>
        <w:trPr>
          <w:cantSplit/>
        </w:trPr>
        <w:tc>
          <w:tcPr>
            <w:tcW w:type="dxa" w:w="2494"/>
            <w:vAlign w:val="center"/>
          </w:tcPr>
          <w:p>
            <w:pPr>
              <w:spacing w:after="40" w:before="20" w:line="252" w:lineRule="auto"/>
            </w:pPr>
            <w:r>
              <w:rPr>
                <w:rFonts w:ascii="Noto Sans" w:hAnsi="Noto Sans"/>
                <w:b/>
                <w:i w:val="0"/>
                <w:sz w:val="18"/>
              </w:rPr>
              <w:t>2</w:t>
            </w:r>
          </w:p>
        </w:tc>
        <w:tc>
          <w:tcPr>
            <w:tcW w:type="dxa" w:w="2494"/>
            <w:vAlign w:val="center"/>
          </w:tcPr>
          <w:p>
            <w:pPr>
              <w:spacing w:after="40" w:before="20" w:line="252" w:lineRule="auto"/>
            </w:pPr>
            <w:r>
              <w:rPr>
                <w:rFonts w:ascii="Noto Sans" w:hAnsi="Noto Sans"/>
                <w:b w:val="0"/>
                <w:i w:val="0"/>
                <w:color w:val="2E7D32"/>
                <w:sz w:val="18"/>
              </w:rPr>
              <w:t>oui</w:t>
            </w:r>
          </w:p>
        </w:tc>
        <w:tc>
          <w:tcPr>
            <w:tcW w:type="dxa" w:w="2494"/>
            <w:vAlign w:val="center"/>
          </w:tcPr>
          <w:p>
            <w:pPr>
              <w:spacing w:after="40" w:before="20" w:line="252" w:lineRule="auto"/>
            </w:pPr>
            <w:r>
              <w:rPr>
                <w:rFonts w:ascii="Noto Sans" w:hAnsi="Noto Sans"/>
                <w:b w:val="0"/>
                <w:i w:val="0"/>
                <w:sz w:val="18"/>
              </w:rPr>
              <w:t>15 minutes</w:t>
            </w:r>
          </w:p>
        </w:tc>
        <w:tc>
          <w:tcPr>
            <w:tcW w:type="dxa" w:w="2494"/>
            <w:vAlign w:val="center"/>
          </w:tcPr>
          <w:p>
            <w:pPr>
              <w:spacing w:after="40" w:before="20" w:line="252" w:lineRule="auto"/>
            </w:pPr>
            <w:r>
              <w:rPr>
                <w:rFonts w:ascii="Noto Sans" w:hAnsi="Noto Sans"/>
                <w:b/>
                <w:i w:val="0"/>
                <w:sz w:val="18"/>
              </w:rPr>
              <w:t>RAPPELER DANS 15 MINUTES</w:t>
            </w:r>
          </w:p>
        </w:tc>
      </w:tr>
      <w:tr>
        <w:trPr>
          <w:cantSplit/>
        </w:trPr>
        <w:tc>
          <w:tcPr>
            <w:tcW w:type="dxa" w:w="2494"/>
            <w:vAlign w:val="center"/>
          </w:tcPr>
          <w:p>
            <w:pPr>
              <w:spacing w:after="40" w:before="20" w:line="252" w:lineRule="auto"/>
            </w:pPr>
            <w:r>
              <w:rPr>
                <w:rFonts w:ascii="Noto Sans" w:hAnsi="Noto Sans"/>
                <w:b/>
                <w:i w:val="0"/>
                <w:sz w:val="18"/>
              </w:rPr>
              <w:t>3</w:t>
            </w:r>
          </w:p>
        </w:tc>
        <w:tc>
          <w:tcPr>
            <w:tcW w:type="dxa" w:w="2494"/>
            <w:vAlign w:val="center"/>
          </w:tcPr>
          <w:p>
            <w:pPr>
              <w:spacing w:after="40" w:before="20" w:line="252" w:lineRule="auto"/>
            </w:pPr>
            <w:r>
              <w:rPr>
                <w:rFonts w:ascii="Noto Sans" w:hAnsi="Noto Sans"/>
                <w:b w:val="0"/>
                <w:i w:val="0"/>
                <w:color w:val="2E7D32"/>
                <w:sz w:val="18"/>
              </w:rPr>
              <w:t>oui</w:t>
            </w:r>
          </w:p>
        </w:tc>
        <w:tc>
          <w:tcPr>
            <w:tcW w:type="dxa" w:w="2494"/>
            <w:vAlign w:val="center"/>
          </w:tcPr>
          <w:p>
            <w:pPr>
              <w:spacing w:after="40" w:before="20" w:line="252" w:lineRule="auto"/>
            </w:pPr>
            <w:r>
              <w:rPr>
                <w:rFonts w:ascii="Noto Sans" w:hAnsi="Noto Sans"/>
                <w:b w:val="0"/>
                <w:i w:val="0"/>
                <w:sz w:val="18"/>
              </w:rPr>
              <w:t>1 heure</w:t>
            </w:r>
          </w:p>
        </w:tc>
        <w:tc>
          <w:tcPr>
            <w:tcW w:type="dxa" w:w="2494"/>
            <w:vAlign w:val="center"/>
          </w:tcPr>
          <w:p>
            <w:pPr>
              <w:spacing w:after="40" w:before="20" w:line="252" w:lineRule="auto"/>
            </w:pPr>
            <w:r>
              <w:rPr>
                <w:rFonts w:ascii="Noto Sans" w:hAnsi="Noto Sans"/>
                <w:b/>
                <w:i w:val="0"/>
                <w:sz w:val="18"/>
              </w:rPr>
              <w:t>RAPPELER DANS 1 HEURE</w:t>
            </w:r>
          </w:p>
        </w:tc>
      </w:tr>
    </w:tbl>
    <w:p>
      <w:pPr>
        <w:pStyle w:val="Heading2"/>
        <w:keepNext/>
      </w:pPr>
      <w:r>
        <w:t>6.2 Modifier ou désactiver un bouton</w:t>
      </w:r>
    </w:p>
    <w:p>
      <w:pPr>
        <w:pStyle w:val="BodyText"/>
        <w:ind w:left="198" w:hanging="198"/>
      </w:pPr>
      <w:r>
        <w:rPr>
          <w:rFonts w:ascii="Noto Sans" w:hAnsi="Noto Sans"/>
          <w:b/>
          <w:i w:val="0"/>
          <w:color w:val="123A5A"/>
          <w:sz w:val="21"/>
        </w:rPr>
        <w:t>1.</w:t>
      </w:r>
      <w:r>
        <w:rPr>
          <w:rFonts w:ascii="Noto Sans" w:hAnsi="Noto Sans"/>
          <w:b w:val="0"/>
          <w:i w:val="0"/>
          <w:sz w:val="21"/>
        </w:rPr>
        <w:t xml:space="preserve">  Dans l’onglet « Boutons de rappel », choisissez la valeur et l’unité « Minutes » ou « Heures ».</w:t>
      </w:r>
    </w:p>
    <w:p>
      <w:pPr>
        <w:pStyle w:val="BodyText"/>
        <w:ind w:left="198" w:hanging="198"/>
      </w:pPr>
      <w:r>
        <w:rPr>
          <w:rFonts w:ascii="Noto Sans" w:hAnsi="Noto Sans"/>
          <w:b/>
          <w:i w:val="0"/>
          <w:color w:val="123A5A"/>
          <w:sz w:val="21"/>
        </w:rPr>
        <w:t>2.</w:t>
      </w:r>
      <w:r>
        <w:rPr>
          <w:rFonts w:ascii="Noto Sans" w:hAnsi="Noto Sans"/>
          <w:b w:val="0"/>
          <w:i w:val="0"/>
          <w:sz w:val="21"/>
        </w:rPr>
        <w:t xml:space="preserve">  Lisez l’aperçu du libellé qui sera affiché dans la grande fenêtre d’alerte.</w:t>
      </w:r>
    </w:p>
    <w:p>
      <w:pPr>
        <w:pStyle w:val="BodyText"/>
        <w:ind w:left="198" w:hanging="198"/>
      </w:pPr>
      <w:r>
        <w:rPr>
          <w:rFonts w:ascii="Noto Sans" w:hAnsi="Noto Sans"/>
          <w:b/>
          <w:i w:val="0"/>
          <w:color w:val="123A5A"/>
          <w:sz w:val="21"/>
        </w:rPr>
        <w:t>3.</w:t>
      </w:r>
      <w:r>
        <w:rPr>
          <w:rFonts w:ascii="Noto Sans" w:hAnsi="Noto Sans"/>
          <w:b w:val="0"/>
          <w:i w:val="0"/>
          <w:sz w:val="21"/>
        </w:rPr>
        <w:t xml:space="preserve">  Décochez « Actif » si vous ne souhaitez pas afficher l’un des trois boutons.</w:t>
      </w:r>
    </w:p>
    <w:p>
      <w:pPr>
        <w:pStyle w:val="BodyText"/>
        <w:ind w:left="198" w:hanging="198"/>
      </w:pPr>
      <w:r>
        <w:rPr>
          <w:rFonts w:ascii="Noto Sans" w:hAnsi="Noto Sans"/>
          <w:b/>
          <w:i w:val="0"/>
          <w:color w:val="123A5A"/>
          <w:sz w:val="21"/>
        </w:rPr>
        <w:t>4.</w:t>
      </w:r>
      <w:r>
        <w:rPr>
          <w:rFonts w:ascii="Noto Sans" w:hAnsi="Noto Sans"/>
          <w:b w:val="0"/>
          <w:i w:val="0"/>
          <w:sz w:val="21"/>
        </w:rPr>
        <w:t xml:space="preserve">  Cliquez sur « Enregistrer et relancer ». Les nouvelles valeurs sont utilisées dès la prochaine alerte ou le prochain test.</w:t>
      </w:r>
    </w:p>
    <w:tbl>
      <w:tblPr>
        <w:tblW w:type="auto" w:w="0"/>
        <w:jc w:val="center"/>
        <w:tblLayout w:type="fixed"/>
        <w:tblLook w:firstColumn="1" w:firstRow="1" w:lastColumn="0" w:lastRow="0" w:noHBand="0" w:noVBand="1" w:val="04A0"/>
      </w:tblPr>
      <w:tblGrid>
        <w:gridCol w:w="9468"/>
      </w:tblGrid>
      <w:tr>
        <w:trPr>
          <w:cantSplit/>
        </w:trPr>
        <w:tc>
          <w:tcPr>
            <w:tcW w:type="dxa" w:w="9978"/>
            <w:shd w:fill="EAF3FA"/>
            <w:tcBorders>
              <w:top w:val="single" w:sz="4" w:color="EAF3FA"/>
              <w:left w:val="single" w:sz="18" w:color="1E5A8A"/>
              <w:bottom w:val="single" w:sz="4" w:color="EAF3FA"/>
              <w:right w:val="single" w:sz="4" w:color="EAF3FA"/>
            </w:tcBorders>
            <w:vAlign w:val="center"/>
          </w:tcPr>
          <w:p>
            <w:pPr>
              <w:spacing w:before="20" w:after="40" w:line="252" w:lineRule="auto"/>
            </w:pPr>
            <w:r>
              <w:rPr>
                <w:rFonts w:ascii="Noto Sans" w:hAnsi="Noto Sans"/>
                <w:b/>
                <w:i w:val="0"/>
                <w:color w:val="1E5A8A"/>
                <w:sz w:val="23"/>
              </w:rPr>
              <w:t>Exemple</w:t>
            </w:r>
          </w:p>
          <w:p>
            <w:pPr>
              <w:spacing w:before="20" w:after="40" w:line="252" w:lineRule="auto"/>
            </w:pPr>
            <w:r>
              <w:rPr>
                <w:rFonts w:ascii="Noto Sans" w:hAnsi="Noto Sans"/>
                <w:b w:val="0"/>
                <w:i w:val="0"/>
                <w:sz w:val="20"/>
              </w:rPr>
              <w:t>Vous pouvez remplacer 15 minutes par 30 minutes, ou 1 heure par 2 heures. Le bouton devient automatiquement « RAPPELER DANS 30 MINUTES » ou « RAPPELER DANS 2 HEURES ». Les trois délais actifs doivent être différents.</w:t>
            </w:r>
          </w:p>
        </w:tc>
      </w:tr>
    </w:tbl>
    <w:p>
      <w:pPr>
        <w:spacing w:after="0"/>
      </w:pPr>
    </w:p>
    <w:tbl>
      <w:tblPr>
        <w:tblW w:type="auto" w:w="0"/>
        <w:jc w:val="center"/>
        <w:tblLayout w:type="fixed"/>
        <w:tblLook w:firstColumn="1" w:firstRow="1" w:lastColumn="0" w:lastRow="0" w:noHBand="0" w:noVBand="1" w:val="04A0"/>
      </w:tblPr>
      <w:tblGrid>
        <w:gridCol w:w="9468"/>
      </w:tblGrid>
      <w:tr>
        <w:trPr>
          <w:cantSplit/>
        </w:trPr>
        <w:tc>
          <w:tcPr>
            <w:tcW w:type="dxa" w:w="9978"/>
            <w:shd w:fill="FFF4DC"/>
            <w:tcBorders>
              <w:top w:val="single" w:sz="4" w:color="FFF4DC"/>
              <w:left w:val="single" w:sz="18" w:color="E69F00"/>
              <w:bottom w:val="single" w:sz="4" w:color="FFF4DC"/>
              <w:right w:val="single" w:sz="4" w:color="FFF4DC"/>
            </w:tcBorders>
            <w:vAlign w:val="center"/>
          </w:tcPr>
          <w:p>
            <w:pPr>
              <w:spacing w:before="20" w:after="40" w:line="252" w:lineRule="auto"/>
            </w:pPr>
            <w:r>
              <w:rPr>
                <w:rFonts w:ascii="Noto Sans" w:hAnsi="Noto Sans"/>
                <w:b/>
                <w:i w:val="0"/>
                <w:color w:val="E69F00"/>
                <w:sz w:val="23"/>
              </w:rPr>
              <w:t>Comportement du report</w:t>
            </w:r>
          </w:p>
          <w:p>
            <w:pPr>
              <w:spacing w:before="20" w:after="40" w:line="252" w:lineRule="auto"/>
            </w:pPr>
            <w:r>
              <w:rPr>
                <w:rFonts w:ascii="Noto Sans" w:hAnsi="Noto Sans"/>
                <w:b w:val="0"/>
                <w:i w:val="0"/>
                <w:sz w:val="20"/>
              </w:rPr>
              <w:t>Le délai commence au moment du clic. Un report d’une heure fait donc réapparaître la même alerte exactement une heure plus tard, même si l’heure initiale du rendez-vous est entre-temps dépassée.</w:t>
            </w:r>
          </w:p>
        </w:tc>
      </w:tr>
    </w:tbl>
    <w:p>
      <w:pPr>
        <w:spacing w:after="0"/>
      </w:pPr>
    </w:p>
    <w:p>
      <w:pPr>
        <w:pStyle w:val="Heading1"/>
        <w:keepNext/>
      </w:pPr>
      <w:r>
        <w:t>7. Choisir un son MP3, WAV, WMA ou MIDI</w:t>
      </w:r>
    </w:p>
    <w:p>
      <w:pPr>
        <w:pStyle w:val="BodyText"/>
      </w:pPr>
      <w:r>
        <w:t>Dans l’onglet « Alarmes », choisissez soit l’un des vingt sons intégrés, soit « Fichier personnalisé / historique », puis utilisez « Parcourir… ». Le fichier personnel est copié dans le dossier custom_media de l’application afin de rester disponible même si l’original est déplacé.</w:t>
      </w:r>
    </w:p>
    <w:p>
      <w:pPr>
        <w:pStyle w:val="Heading2"/>
        <w:keepNext/>
      </w:pPr>
      <w:r>
        <w:t>7.1 Formats</w:t>
      </w:r>
    </w:p>
    <w:p>
      <w:pPr>
        <w:pStyle w:val="ListBullet"/>
      </w:pPr>
      <w:r>
        <w:rPr>
          <w:rFonts w:ascii="Noto Sans" w:hAnsi="Noto Sans"/>
          <w:b w:val="0"/>
          <w:i w:val="0"/>
          <w:sz w:val="21"/>
        </w:rPr>
        <w:t>MP3 : format recommandé, compact et généralement très fiable.</w:t>
      </w:r>
    </w:p>
    <w:p>
      <w:pPr>
        <w:pStyle w:val="ListBullet"/>
      </w:pPr>
      <w:r>
        <w:rPr>
          <w:rFonts w:ascii="Noto Sans" w:hAnsi="Noto Sans"/>
          <w:b w:val="0"/>
          <w:i w:val="0"/>
          <w:sz w:val="21"/>
        </w:rPr>
        <w:t>WAV : format non compressé, souvent volumineux mais très compatible.</w:t>
      </w:r>
    </w:p>
    <w:p>
      <w:pPr>
        <w:pStyle w:val="ListBullet"/>
      </w:pPr>
      <w:r>
        <w:rPr>
          <w:rFonts w:ascii="Noto Sans" w:hAnsi="Noto Sans"/>
          <w:b w:val="0"/>
          <w:i w:val="0"/>
          <w:sz w:val="21"/>
        </w:rPr>
        <w:t>WMA : format audio Windows pris en charge par le lecteur multimédia.</w:t>
      </w:r>
    </w:p>
    <w:p>
      <w:pPr>
        <w:pStyle w:val="ListBullet"/>
      </w:pPr>
      <w:r>
        <w:rPr>
          <w:rFonts w:ascii="Noto Sans" w:hAnsi="Noto Sans"/>
          <w:b w:val="0"/>
          <w:i w:val="0"/>
          <w:sz w:val="21"/>
        </w:rPr>
        <w:t>MID ou MIDI : fichier de notes musicales lu par le synthétiseur de Windows. Le rendu et le volume peuvent varier selon l’ordinateur ; MP3 reste préférable pour une alarme impérative.</w:t>
      </w:r>
    </w:p>
    <w:p>
      <w:pPr>
        <w:pStyle w:val="Heading2"/>
        <w:keepNext/>
      </w:pPr>
      <w:r>
        <w:t>7.2 Durée et boucle</w:t>
      </w:r>
    </w:p>
    <w:p>
      <w:pPr>
        <w:pStyle w:val="BodyText"/>
      </w:pPr>
      <w:r>
        <w:t>Lorsque « Boucle » est cochée, le son recommence automatiquement. La durée se règle désormais avec une valeur et une unité : secondes, minutes ou heures. Vous pouvez donc choisir 2, 3, 5 ou 10 minutes sans conversion. L’option « Jusqu’à fermeture » poursuit la lecture jusqu’à l’acquittement ou au déclenchement d’une alarme plus récente.</w:t>
      </w:r>
    </w:p>
    <w:p>
      <w:pPr>
        <w:pStyle w:val="Heading1"/>
        <w:keepNext/>
      </w:pPr>
      <w:r>
        <w:t>8. Ajouter une image d’arrière-plan</w:t>
      </w:r>
    </w:p>
    <w:p>
      <w:pPr>
        <w:pStyle w:val="BodyText"/>
      </w:pPr>
      <w:r>
        <w:rPr>
          <w:rFonts w:ascii="Noto Sans" w:hAnsi="Noto Sans"/>
          <w:b w:val="0"/>
          <w:i w:val="0"/>
          <w:sz w:val="21"/>
        </w:rPr>
        <w:t>Dans l’onglet « Image d’arrière-plan », cochez l’option correspondante, cliquez sur « Parcourir… », puis sélectionnez une image JPG, JPEG, PNG, BMP ou GIF.</w:t>
      </w:r>
    </w:p>
    <w:p>
      <w:pPr>
        <w:pStyle w:val="BodyText"/>
      </w:pPr>
      <w:r>
        <w:rPr>
          <w:rFonts w:ascii="Noto Sans" w:hAnsi="Noto Sans"/>
          <w:b w:val="0"/>
          <w:i w:val="0"/>
          <w:sz w:val="21"/>
        </w:rPr>
        <w:t>Le curseur d’opacité règle le voile de couleur placé sur l’image. À 100 %, la couleur masque entièrement l’image. Une valeur comprise entre 55 % et 80 % conserve généralement une bonne lisibilité tout en laissant apparaître le visuel.</w:t>
      </w:r>
    </w:p>
    <w:tbl>
      <w:tblPr>
        <w:tblW w:type="auto" w:w="0"/>
        <w:jc w:val="center"/>
        <w:tblLayout w:type="fixed"/>
        <w:tblLook w:firstColumn="1" w:firstRow="1" w:lastColumn="0" w:lastRow="0" w:noHBand="0" w:noVBand="1" w:val="04A0"/>
      </w:tblPr>
      <w:tblGrid>
        <w:gridCol w:w="9468"/>
      </w:tblGrid>
      <w:tr>
        <w:trPr>
          <w:cantSplit/>
        </w:trPr>
        <w:tc>
          <w:tcPr>
            <w:tcW w:type="dxa" w:w="9978"/>
            <w:shd w:fill="FFF4DC"/>
            <w:tcBorders>
              <w:top w:val="single" w:sz="4" w:color="FFF4DC"/>
              <w:left w:val="single" w:sz="18" w:color="E69F00"/>
              <w:bottom w:val="single" w:sz="4" w:color="FFF4DC"/>
              <w:right w:val="single" w:sz="4" w:color="FFF4DC"/>
            </w:tcBorders>
            <w:vAlign w:val="center"/>
          </w:tcPr>
          <w:p>
            <w:pPr>
              <w:spacing w:before="20" w:after="40" w:line="252" w:lineRule="auto"/>
            </w:pPr>
            <w:r>
              <w:rPr>
                <w:rFonts w:ascii="Noto Sans" w:hAnsi="Noto Sans"/>
                <w:b/>
                <w:i w:val="0"/>
                <w:color w:val="E69F00"/>
                <w:sz w:val="23"/>
              </w:rPr>
              <w:t>Conseil de lisibilité</w:t>
            </w:r>
          </w:p>
          <w:p>
            <w:pPr>
              <w:spacing w:before="20" w:after="40" w:line="252" w:lineRule="auto"/>
            </w:pPr>
            <w:r>
              <w:rPr>
                <w:rFonts w:ascii="Noto Sans" w:hAnsi="Noto Sans"/>
                <w:b w:val="0"/>
                <w:i w:val="0"/>
                <w:sz w:val="20"/>
              </w:rPr>
              <w:t>Choisissez une image peu chargée et conservez un voile suffisamment opaque. Les informations de rendez-vous doivent rester immédiatement lisibles, même à plusieurs mètres de l’écran.</w:t>
            </w:r>
          </w:p>
        </w:tc>
      </w:tr>
    </w:tbl>
    <w:p>
      <w:pPr>
        <w:spacing w:after="0"/>
      </w:pPr>
    </w:p>
    <w:p>
      <w:pPr>
        <w:pStyle w:val="Heading1"/>
        <w:keepNext/>
      </w:pPr>
      <w:r>
        <w:t>9. Menu de l’icône et accès direct à l’agenda</w:t>
      </w:r>
    </w:p>
    <w:p>
      <w:pPr>
        <w:pStyle w:val="BodyText"/>
      </w:pPr>
      <w:r>
        <w:t>Un clic droit sur l’icône calendrier ouvre le menu principal. Il comprend désormais « Ouvrir le dossier du logiciel », qui affiche immédiatement la copie active installée dans Windows.</w:t>
      </w:r>
    </w:p>
    <w:tbl>
      <w:tblPr>
        <w:tblStyle w:val="TableGrid"/>
        <w:tblW w:type="auto" w:w="0"/>
        <w:jc w:val="center"/>
        <w:tblLook w:firstColumn="1" w:firstRow="1" w:lastColumn="0" w:lastRow="0" w:noHBand="0" w:noVBand="1" w:val="04A0"/>
      </w:tblPr>
      <w:tblGrid>
        <w:gridCol w:w="4989"/>
        <w:gridCol w:w="4989"/>
      </w:tblGrid>
      <w:tr>
        <w:trPr>
          <w:tblHeader w:val="true"/>
          <w:cantSplit/>
        </w:trPr>
        <w:tc>
          <w:tcPr>
            <w:tcW w:type="dxa" w:w="4989"/>
            <w:shd w:fill="123A5A"/>
            <w:vAlign w:val="center"/>
          </w:tcPr>
          <w:p>
            <w:pPr>
              <w:spacing w:after="40" w:before="20" w:line="252" w:lineRule="auto"/>
            </w:pPr>
            <w:r>
              <w:rPr>
                <w:rFonts w:ascii="Noto Sans" w:hAnsi="Noto Sans"/>
                <w:b/>
                <w:i w:val="0"/>
                <w:color w:val="FFFFFF"/>
                <w:sz w:val="19"/>
              </w:rPr>
              <w:t>Commande</w:t>
            </w:r>
          </w:p>
        </w:tc>
        <w:tc>
          <w:tcPr>
            <w:tcW w:type="dxa" w:w="4989"/>
            <w:shd w:fill="123A5A"/>
            <w:vAlign w:val="center"/>
          </w:tcPr>
          <w:p>
            <w:pPr>
              <w:spacing w:after="40" w:before="20" w:line="252" w:lineRule="auto"/>
            </w:pPr>
            <w:r>
              <w:rPr>
                <w:rFonts w:ascii="Noto Sans" w:hAnsi="Noto Sans"/>
                <w:b/>
                <w:i w:val="0"/>
                <w:color w:val="FFFFFF"/>
                <w:sz w:val="19"/>
              </w:rPr>
              <w:t>Action</w:t>
            </w:r>
          </w:p>
        </w:tc>
      </w:tr>
      <w:tr>
        <w:trPr>
          <w:cantSplit/>
        </w:trPr>
        <w:tc>
          <w:tcPr>
            <w:tcW w:type="dxa" w:w="4989"/>
            <w:vAlign w:val="center"/>
          </w:tcPr>
          <w:p>
            <w:pPr>
              <w:spacing w:after="40" w:before="20" w:line="252" w:lineRule="auto"/>
            </w:pPr>
            <w:r>
              <w:rPr>
                <w:rFonts w:ascii="Noto Sans" w:hAnsi="Noto Sans"/>
                <w:b/>
                <w:i w:val="0"/>
                <w:color w:val="1E5A8A"/>
                <w:sz w:val="18"/>
              </w:rPr>
              <w:t>Accès agenda direct</w:t>
            </w:r>
          </w:p>
        </w:tc>
        <w:tc>
          <w:tcPr>
            <w:tcW w:type="dxa" w:w="4989"/>
            <w:vAlign w:val="center"/>
          </w:tcPr>
          <w:p>
            <w:pPr>
              <w:spacing w:after="40" w:before="20" w:line="252" w:lineRule="auto"/>
            </w:pPr>
            <w:r>
              <w:rPr>
                <w:rFonts w:ascii="Noto Sans" w:hAnsi="Noto Sans"/>
                <w:b w:val="0"/>
                <w:i w:val="0"/>
                <w:sz w:val="18"/>
              </w:rPr>
              <w:t>ouvre immédiatement Google Agenda dans le navigateur par défaut.</w:t>
            </w:r>
          </w:p>
        </w:tc>
      </w:tr>
      <w:tr>
        <w:trPr>
          <w:cantSplit/>
        </w:trPr>
        <w:tc>
          <w:tcPr>
            <w:tcW w:type="dxa" w:w="4989"/>
            <w:vAlign w:val="center"/>
          </w:tcPr>
          <w:p>
            <w:pPr>
              <w:spacing w:after="40" w:before="20" w:line="252" w:lineRule="auto"/>
            </w:pPr>
            <w:r>
              <w:rPr>
                <w:rFonts w:ascii="Noto Sans" w:hAnsi="Noto Sans"/>
                <w:b/>
                <w:i w:val="0"/>
                <w:color w:val="1E5A8A"/>
                <w:sz w:val="18"/>
              </w:rPr>
              <w:t>Voir les prochains rendez-vous</w:t>
            </w:r>
          </w:p>
        </w:tc>
        <w:tc>
          <w:tcPr>
            <w:tcW w:type="dxa" w:w="4989"/>
            <w:vAlign w:val="center"/>
          </w:tcPr>
          <w:p>
            <w:pPr>
              <w:spacing w:after="40" w:before="20" w:line="252" w:lineRule="auto"/>
            </w:pPr>
            <w:r>
              <w:rPr>
                <w:rFonts w:ascii="Noto Sans" w:hAnsi="Noto Sans"/>
                <w:b w:val="0"/>
                <w:i w:val="0"/>
                <w:sz w:val="18"/>
              </w:rPr>
              <w:t>affiche la liste des événements déjà synchronisés.</w:t>
            </w:r>
          </w:p>
        </w:tc>
      </w:tr>
      <w:tr>
        <w:trPr>
          <w:cantSplit/>
        </w:trPr>
        <w:tc>
          <w:tcPr>
            <w:tcW w:type="dxa" w:w="4989"/>
            <w:vAlign w:val="center"/>
          </w:tcPr>
          <w:p>
            <w:pPr>
              <w:spacing w:after="40" w:before="20" w:line="252" w:lineRule="auto"/>
            </w:pPr>
            <w:r>
              <w:rPr>
                <w:rFonts w:ascii="Noto Sans" w:hAnsi="Noto Sans"/>
                <w:b/>
                <w:i w:val="0"/>
                <w:color w:val="1E5A8A"/>
                <w:sz w:val="18"/>
              </w:rPr>
              <w:t>Synchroniser maintenant</w:t>
            </w:r>
          </w:p>
        </w:tc>
        <w:tc>
          <w:tcPr>
            <w:tcW w:type="dxa" w:w="4989"/>
            <w:vAlign w:val="center"/>
          </w:tcPr>
          <w:p>
            <w:pPr>
              <w:spacing w:after="40" w:before="20" w:line="252" w:lineRule="auto"/>
            </w:pPr>
            <w:r>
              <w:rPr>
                <w:rFonts w:ascii="Noto Sans" w:hAnsi="Noto Sans"/>
                <w:b w:val="0"/>
                <w:i w:val="0"/>
                <w:sz w:val="18"/>
              </w:rPr>
              <w:t>force un téléchargement immédiat du calendrier.</w:t>
            </w:r>
          </w:p>
        </w:tc>
      </w:tr>
      <w:tr>
        <w:trPr>
          <w:cantSplit/>
        </w:trPr>
        <w:tc>
          <w:tcPr>
            <w:tcW w:type="dxa" w:w="4989"/>
            <w:vAlign w:val="center"/>
          </w:tcPr>
          <w:p>
            <w:pPr>
              <w:spacing w:after="40" w:before="20" w:line="252" w:lineRule="auto"/>
            </w:pPr>
            <w:r>
              <w:rPr>
                <w:rFonts w:ascii="Noto Sans" w:hAnsi="Noto Sans"/>
                <w:b/>
                <w:i w:val="0"/>
                <w:color w:val="1E5A8A"/>
                <w:sz w:val="18"/>
              </w:rPr>
              <w:t>Tester une alarme</w:t>
            </w:r>
          </w:p>
        </w:tc>
        <w:tc>
          <w:tcPr>
            <w:tcW w:type="dxa" w:w="4989"/>
            <w:vAlign w:val="center"/>
          </w:tcPr>
          <w:p>
            <w:pPr>
              <w:spacing w:after="40" w:before="20" w:line="252" w:lineRule="auto"/>
            </w:pPr>
            <w:r>
              <w:rPr>
                <w:rFonts w:ascii="Noto Sans" w:hAnsi="Noto Sans"/>
                <w:b w:val="0"/>
                <w:i w:val="0"/>
                <w:sz w:val="18"/>
              </w:rPr>
              <w:t>présente uniquement les créneaux actifs, avec leurs durées et leurs sons actuels.</w:t>
            </w:r>
          </w:p>
        </w:tc>
      </w:tr>
      <w:tr>
        <w:trPr>
          <w:cantSplit/>
        </w:trPr>
        <w:tc>
          <w:tcPr>
            <w:tcW w:type="dxa" w:w="4989"/>
            <w:vAlign w:val="center"/>
          </w:tcPr>
          <w:p>
            <w:pPr>
              <w:spacing w:after="40" w:before="20" w:line="252" w:lineRule="auto"/>
            </w:pPr>
            <w:r>
              <w:rPr>
                <w:rFonts w:ascii="Noto Sans" w:hAnsi="Noto Sans"/>
                <w:b/>
                <w:i w:val="0"/>
                <w:color w:val="1E5A8A"/>
                <w:sz w:val="18"/>
              </w:rPr>
              <w:t>Personnaliser les alarmes et l’affichage</w:t>
            </w:r>
          </w:p>
        </w:tc>
        <w:tc>
          <w:tcPr>
            <w:tcW w:type="dxa" w:w="4989"/>
            <w:vAlign w:val="center"/>
          </w:tcPr>
          <w:p>
            <w:pPr>
              <w:spacing w:after="40" w:before="20" w:line="252" w:lineRule="auto"/>
            </w:pPr>
            <w:r>
              <w:rPr>
                <w:rFonts w:ascii="Noto Sans" w:hAnsi="Noto Sans"/>
                <w:b w:val="0"/>
                <w:i w:val="0"/>
                <w:sz w:val="18"/>
              </w:rPr>
              <w:t>ouvre les dix créneaux, les trois boutons de rappel et l’image d’arrière-plan.</w:t>
            </w:r>
          </w:p>
        </w:tc>
      </w:tr>
      <w:tr>
        <w:trPr>
          <w:cantSplit/>
        </w:trPr>
        <w:tc>
          <w:tcPr>
            <w:tcW w:type="dxa" w:w="4989"/>
            <w:vAlign w:val="center"/>
          </w:tcPr>
          <w:p>
            <w:pPr>
              <w:spacing w:after="40" w:before="20" w:line="252" w:lineRule="auto"/>
            </w:pPr>
            <w:r>
              <w:rPr>
                <w:rFonts w:ascii="Noto Sans" w:hAnsi="Noto Sans"/>
                <w:b/>
                <w:i w:val="0"/>
                <w:color w:val="1E5A8A"/>
                <w:sz w:val="18"/>
              </w:rPr>
              <w:t>Configurer le lien Google Agenda</w:t>
            </w:r>
          </w:p>
        </w:tc>
        <w:tc>
          <w:tcPr>
            <w:tcW w:type="dxa" w:w="4989"/>
            <w:vAlign w:val="center"/>
          </w:tcPr>
          <w:p>
            <w:pPr>
              <w:spacing w:after="40" w:before="20" w:line="252" w:lineRule="auto"/>
            </w:pPr>
            <w:r>
              <w:rPr>
                <w:rFonts w:ascii="Noto Sans" w:hAnsi="Noto Sans"/>
                <w:b w:val="0"/>
                <w:i w:val="0"/>
                <w:sz w:val="18"/>
              </w:rPr>
              <w:t>remplace l’adresse iCal et redémarre le logiciel.</w:t>
            </w:r>
          </w:p>
        </w:tc>
      </w:tr>
      <w:tr>
        <w:trPr>
          <w:cantSplit/>
        </w:trPr>
        <w:tc>
          <w:tcPr>
            <w:tcW w:type="dxa" w:w="4989"/>
            <w:vAlign w:val="center"/>
          </w:tcPr>
          <w:p>
            <w:pPr>
              <w:spacing w:after="40" w:before="20" w:line="252" w:lineRule="auto"/>
            </w:pPr>
            <w:r>
              <w:rPr>
                <w:rFonts w:ascii="Noto Sans" w:hAnsi="Noto Sans"/>
                <w:b/>
                <w:i w:val="0"/>
                <w:color w:val="1E5A8A"/>
                <w:sz w:val="18"/>
              </w:rPr>
              <w:t>Ouvrir le journal technique</w:t>
            </w:r>
          </w:p>
        </w:tc>
        <w:tc>
          <w:tcPr>
            <w:tcW w:type="dxa" w:w="4989"/>
            <w:vAlign w:val="center"/>
          </w:tcPr>
          <w:p>
            <w:pPr>
              <w:spacing w:after="40" w:before="20" w:line="252" w:lineRule="auto"/>
            </w:pPr>
            <w:r>
              <w:rPr>
                <w:rFonts w:ascii="Noto Sans" w:hAnsi="Noto Sans"/>
                <w:b w:val="0"/>
                <w:i w:val="0"/>
                <w:sz w:val="18"/>
              </w:rPr>
              <w:t>affiche les dernières opérations et erreurs.</w:t>
            </w:r>
          </w:p>
        </w:tc>
      </w:tr>
      <w:tr>
        <w:tc>
          <w:tcPr>
            <w:tcW w:type="dxa" w:w="4989"/>
          </w:tcPr>
          <w:p>
            <w:r>
              <w:t>Ouvrir le dossier du logiciel</w:t>
            </w:r>
          </w:p>
        </w:tc>
        <w:tc>
          <w:tcPr>
            <w:tcW w:type="dxa" w:w="4989"/>
          </w:tcPr>
          <w:p>
            <w:r>
              <w:t>affiche la copie active installée dans %LOCALAPPDATA%\AlerteAgenda.</w:t>
            </w:r>
          </w:p>
        </w:tc>
      </w:tr>
      <w:tr>
        <w:trPr>
          <w:cantSplit/>
        </w:trPr>
        <w:tc>
          <w:tcPr>
            <w:tcW w:type="dxa" w:w="4989"/>
            <w:vAlign w:val="center"/>
          </w:tcPr>
          <w:p>
            <w:pPr>
              <w:spacing w:after="40" w:before="20" w:line="252" w:lineRule="auto"/>
            </w:pPr>
            <w:r>
              <w:rPr>
                <w:rFonts w:ascii="Noto Sans" w:hAnsi="Noto Sans"/>
                <w:b/>
                <w:i w:val="0"/>
                <w:color w:val="1E5A8A"/>
                <w:sz w:val="18"/>
              </w:rPr>
              <w:t>Quitter Alerte Agenda</w:t>
            </w:r>
          </w:p>
        </w:tc>
        <w:tc>
          <w:tcPr>
            <w:tcW w:type="dxa" w:w="4989"/>
            <w:vAlign w:val="center"/>
          </w:tcPr>
          <w:p>
            <w:pPr>
              <w:spacing w:after="40" w:before="20" w:line="252" w:lineRule="auto"/>
            </w:pPr>
            <w:r>
              <w:rPr>
                <w:rFonts w:ascii="Noto Sans" w:hAnsi="Noto Sans"/>
                <w:b w:val="0"/>
                <w:i w:val="0"/>
                <w:sz w:val="18"/>
              </w:rPr>
              <w:t>arrête volontairement le logiciel.</w:t>
            </w:r>
          </w:p>
        </w:tc>
      </w:tr>
    </w:tbl>
    <w:p>
      <w:pPr>
        <w:pStyle w:val="BodyText"/>
      </w:pPr>
      <w:r>
        <w:rPr>
          <w:rFonts w:ascii="Noto Sans" w:hAnsi="Noto Sans"/>
          <w:b w:val="0"/>
          <w:i w:val="0"/>
          <w:sz w:val="21"/>
        </w:rPr>
        <w:t>Un double-clic sur l’icône ouvre également Google Agenda. Cette fonction sert de raccourci permanent et évite de rechercher un onglet déjà ouvert.</w:t>
      </w:r>
    </w:p>
    <w:p>
      <w:pPr>
        <w:pStyle w:val="Heading1"/>
        <w:keepNext/>
      </w:pPr>
      <w:r>
        <w:t>10. Tester les alarmes et vérifier un vrai événement</w:t>
      </w:r>
    </w:p>
    <w:p>
      <w:pPr>
        <w:pStyle w:val="Heading2"/>
        <w:keepNext/>
      </w:pPr>
      <w:r>
        <w:t>10.1 Test de présentation et de son</w:t>
      </w:r>
    </w:p>
    <w:p>
      <w:pPr>
        <w:pStyle w:val="BodyText"/>
      </w:pPr>
      <w:r>
        <w:rPr>
          <w:rFonts w:ascii="Noto Sans" w:hAnsi="Noto Sans"/>
          <w:b w:val="0"/>
          <w:i w:val="0"/>
          <w:sz w:val="21"/>
        </w:rPr>
        <w:t>Utilisez « Tester une alarme ». Le menu s’adapte aux alarmes actives. Si le créneau de 20 minutes a été remplacé par 10 minutes, l’intitulé devient automatiquement « Test 10 minutes ». La grande fenêtre de test affiche aussi les trois boutons de report selon leurs valeurs actuelles.</w:t>
      </w:r>
    </w:p>
    <w:tbl>
      <w:tblPr>
        <w:tblW w:type="auto" w:w="0"/>
        <w:jc w:val="center"/>
        <w:tblLayout w:type="fixed"/>
        <w:tblLook w:firstColumn="1" w:firstRow="1" w:lastColumn="0" w:lastRow="0" w:noHBand="0" w:noVBand="1" w:val="04A0"/>
      </w:tblPr>
      <w:tblGrid>
        <w:gridCol w:w="9468"/>
      </w:tblGrid>
      <w:tr>
        <w:trPr>
          <w:cantSplit/>
        </w:trPr>
        <w:tc>
          <w:tcPr>
            <w:tcW w:type="dxa" w:w="9978"/>
            <w:shd w:fill="FFF4DC"/>
            <w:tcBorders>
              <w:top w:val="single" w:sz="4" w:color="FFF4DC"/>
              <w:left w:val="single" w:sz="18" w:color="E69F00"/>
              <w:bottom w:val="single" w:sz="4" w:color="FFF4DC"/>
              <w:right w:val="single" w:sz="4" w:color="FFF4DC"/>
            </w:tcBorders>
            <w:vAlign w:val="center"/>
          </w:tcPr>
          <w:p>
            <w:pPr>
              <w:spacing w:before="20" w:after="40" w:line="252" w:lineRule="auto"/>
            </w:pPr>
            <w:r>
              <w:rPr>
                <w:rFonts w:ascii="Noto Sans" w:hAnsi="Noto Sans"/>
                <w:b/>
                <w:i w:val="0"/>
                <w:color w:val="E69F00"/>
                <w:sz w:val="23"/>
              </w:rPr>
              <w:t>Limite du test interne</w:t>
            </w:r>
          </w:p>
          <w:p>
            <w:pPr>
              <w:spacing w:before="20" w:after="40" w:line="252" w:lineRule="auto"/>
            </w:pPr>
            <w:r>
              <w:rPr>
                <w:rFonts w:ascii="Noto Sans" w:hAnsi="Noto Sans"/>
                <w:b w:val="0"/>
                <w:i w:val="0"/>
                <w:sz w:val="20"/>
              </w:rPr>
              <w:t>Un test interne prouve que la fenêtre, le son et les boutons fonctionnent. Il ne prouve pas que le lien iCal transmet réellement les événements Google.</w:t>
            </w:r>
          </w:p>
        </w:tc>
      </w:tr>
    </w:tbl>
    <w:p>
      <w:pPr>
        <w:spacing w:after="0"/>
      </w:pPr>
    </w:p>
    <w:p>
      <w:pPr>
        <w:pStyle w:val="Heading2"/>
        <w:keepNext/>
      </w:pPr>
      <w:r>
        <w:t>10.2 Test réel recommandé</w:t>
      </w:r>
    </w:p>
    <w:tbl>
      <w:tblPr>
        <w:tblW w:type="auto" w:w="0"/>
        <w:jc w:val="center"/>
        <w:tblLayout w:type="fixed"/>
        <w:tblLook w:firstColumn="1" w:firstRow="1" w:lastColumn="0" w:lastRow="0" w:noHBand="0" w:noVBand="1" w:val="04A0"/>
      </w:tblPr>
      <w:tblGrid>
        <w:gridCol w:w="794"/>
        <w:gridCol w:w="8674"/>
      </w:tblGrid>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1</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rPr>
                <w:rFonts w:ascii="Noto Sans" w:hAnsi="Noto Sans"/>
                <w:b/>
                <w:i w:val="0"/>
                <w:color w:val="123A5A"/>
                <w:sz w:val="21"/>
              </w:rPr>
              <w:t>Créer un événement</w:t>
            </w:r>
            <w:r>
              <w:rPr>
                <w:rFonts w:ascii="Noto Sans" w:hAnsi="Noto Sans"/>
                <w:b w:val="0"/>
                <w:i w:val="0"/>
                <w:sz w:val="20"/>
              </w:rPr>
              <w:t xml:space="preserve"> — programmez un événement environ 35 minutes plus tard si vous testez une alarme réglée à 20 minutes, ou environ 25 minutes plus tard pour une alarme réglée à 10 minutes.</w:t>
            </w:r>
          </w:p>
        </w:tc>
      </w:tr>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2</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rPr>
                <w:rFonts w:ascii="Noto Sans" w:hAnsi="Noto Sans"/>
                <w:b/>
                <w:i w:val="0"/>
                <w:color w:val="123A5A"/>
                <w:sz w:val="21"/>
              </w:rPr>
              <w:t>Synchroniser</w:t>
            </w:r>
            <w:r>
              <w:rPr>
                <w:rFonts w:ascii="Noto Sans" w:hAnsi="Noto Sans"/>
                <w:b w:val="0"/>
                <w:i w:val="0"/>
                <w:sz w:val="20"/>
              </w:rPr>
              <w:t xml:space="preserve"> — faites un clic droit sur l’icône, puis choisissez « Synchroniser maintenant ».</w:t>
            </w:r>
          </w:p>
        </w:tc>
      </w:tr>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3</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rPr>
                <w:rFonts w:ascii="Noto Sans" w:hAnsi="Noto Sans"/>
                <w:b/>
                <w:i w:val="0"/>
                <w:color w:val="123A5A"/>
                <w:sz w:val="21"/>
              </w:rPr>
              <w:t>Contrôler la liste</w:t>
            </w:r>
            <w:r>
              <w:rPr>
                <w:rFonts w:ascii="Noto Sans" w:hAnsi="Noto Sans"/>
                <w:b w:val="0"/>
                <w:i w:val="0"/>
                <w:sz w:val="20"/>
              </w:rPr>
              <w:t xml:space="preserve"> — ouvrez « Voir les prochains rendez-vous » et vérifiez que l’événement apparaît.</w:t>
            </w:r>
          </w:p>
        </w:tc>
      </w:tr>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4</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rPr>
                <w:rFonts w:ascii="Noto Sans" w:hAnsi="Noto Sans"/>
                <w:b/>
                <w:i w:val="0"/>
                <w:color w:val="123A5A"/>
                <w:sz w:val="21"/>
              </w:rPr>
              <w:t>Attendre le seuil</w:t>
            </w:r>
            <w:r>
              <w:rPr>
                <w:rFonts w:ascii="Noto Sans" w:hAnsi="Noto Sans"/>
                <w:b w:val="0"/>
                <w:i w:val="0"/>
                <w:sz w:val="20"/>
              </w:rPr>
              <w:t xml:space="preserve"> — laissez le logiciel actif jusqu’au délai défini ; un décalage inférieur à environ une minute est normal en raison de la synchronisation.</w:t>
            </w:r>
          </w:p>
        </w:tc>
      </w:tr>
      <w:tr>
        <w:trPr>
          <w:cantSplit/>
        </w:trPr>
        <w:tc>
          <w:tcPr>
            <w:tcW w:type="dxa" w:w="4989"/>
            <w:vAlign w:val="center"/>
            <w:shd w:fill="123A5A"/>
            <w:tcBorders>
              <w:top w:val="single" w:sz="4" w:color="D4DCE3"/>
              <w:left w:val="single" w:sz="4" w:color="D4DCE3"/>
              <w:bottom w:val="single" w:sz="4" w:color="D4DCE3"/>
              <w:right w:val="single" w:sz="4" w:color="D4DCE3"/>
            </w:tcBorders>
          </w:tcPr>
          <w:p>
            <w:pPr>
              <w:spacing w:after="40" w:before="20" w:line="252" w:lineRule="auto"/>
              <w:jc w:val="center"/>
            </w:pPr>
            <w:r>
              <w:rPr>
                <w:rFonts w:ascii="Noto Sans" w:hAnsi="Noto Sans"/>
                <w:b/>
                <w:i w:val="0"/>
                <w:color w:val="FFFFFF"/>
                <w:sz w:val="32"/>
              </w:rPr>
              <w:t>5</w:t>
            </w:r>
          </w:p>
        </w:tc>
        <w:tc>
          <w:tcPr>
            <w:tcW w:type="dxa" w:w="4989"/>
            <w:vAlign w:val="center"/>
            <w:shd w:fill="FFFFFF"/>
            <w:tcBorders>
              <w:top w:val="single" w:sz="4" w:color="D4DCE3"/>
              <w:left w:val="single" w:sz="4" w:color="D4DCE3"/>
              <w:bottom w:val="single" w:sz="4" w:color="D4DCE3"/>
              <w:right w:val="single" w:sz="4" w:color="D4DCE3"/>
            </w:tcBorders>
          </w:tcPr>
          <w:p>
            <w:pPr>
              <w:spacing w:after="40" w:before="20" w:line="252" w:lineRule="auto"/>
            </w:pPr>
            <w:r>
              <w:rPr>
                <w:rFonts w:ascii="Noto Sans" w:hAnsi="Noto Sans"/>
                <w:b/>
                <w:i w:val="0"/>
                <w:color w:val="123A5A"/>
                <w:sz w:val="21"/>
              </w:rPr>
              <w:t>Valider</w:t>
            </w:r>
            <w:r>
              <w:rPr>
                <w:rFonts w:ascii="Noto Sans" w:hAnsi="Noto Sans"/>
                <w:b w:val="0"/>
                <w:i w:val="0"/>
                <w:sz w:val="20"/>
              </w:rPr>
              <w:t xml:space="preserve"> — cliquez sur « J’AI VU — FERMER » lorsque l’alerte apparaît.</w:t>
            </w:r>
          </w:p>
        </w:tc>
      </w:tr>
    </w:tbl>
    <w:tbl>
      <w:tblPr>
        <w:tblW w:type="auto" w:w="0"/>
        <w:jc w:val="center"/>
        <w:tblLayout w:type="fixed"/>
        <w:tblLook w:firstColumn="1" w:firstRow="1" w:lastColumn="0" w:lastRow="0" w:noHBand="0" w:noVBand="1" w:val="04A0"/>
      </w:tblPr>
      <w:tblGrid>
        <w:gridCol w:w="9468"/>
      </w:tblGrid>
      <w:tr>
        <w:trPr>
          <w:cantSplit/>
        </w:trPr>
        <w:tc>
          <w:tcPr>
            <w:tcW w:type="dxa" w:w="9978"/>
            <w:shd w:fill="FDECEC"/>
            <w:tcBorders>
              <w:top w:val="single" w:sz="4" w:color="FDECEC"/>
              <w:left w:val="single" w:sz="18" w:color="B3261E"/>
              <w:bottom w:val="single" w:sz="4" w:color="FDECEC"/>
              <w:right w:val="single" w:sz="4" w:color="FDECEC"/>
            </w:tcBorders>
            <w:vAlign w:val="center"/>
          </w:tcPr>
          <w:p>
            <w:pPr>
              <w:spacing w:before="20" w:after="40" w:line="252" w:lineRule="auto"/>
            </w:pPr>
            <w:r>
              <w:rPr>
                <w:rFonts w:ascii="Noto Sans" w:hAnsi="Noto Sans"/>
                <w:b/>
                <w:i w:val="0"/>
                <w:color w:val="B3261E"/>
                <w:sz w:val="23"/>
              </w:rPr>
              <w:t>Événement absent de la liste</w:t>
            </w:r>
          </w:p>
          <w:p>
            <w:pPr>
              <w:spacing w:before="20" w:after="40" w:line="252" w:lineRule="auto"/>
            </w:pPr>
            <w:r>
              <w:rPr>
                <w:rFonts w:ascii="Noto Sans" w:hAnsi="Noto Sans"/>
                <w:b w:val="0"/>
                <w:i w:val="0"/>
                <w:sz w:val="20"/>
              </w:rPr>
              <w:t>Si l’événement n’apparaît pas après une synchronisation manuelle, vérifiez d’abord le lien iCal. Une adresse publique /public/basic.ics est la cause la plus fréquente lorsque les tests sonores fonctionnent mais que les vrais rendez-vous ne sont jamais détectés.</w:t>
            </w:r>
          </w:p>
        </w:tc>
      </w:tr>
    </w:tbl>
    <w:p>
      <w:pPr>
        <w:spacing w:after="0"/>
      </w:pPr>
    </w:p>
    <w:p>
      <w:pPr>
        <w:pStyle w:val="Heading1"/>
        <w:keepNext/>
      </w:pPr>
      <w:r>
        <w:t>11. Fonctionnement en arrière-plan et relance</w:t>
      </w:r>
    </w:p>
    <w:p>
      <w:pPr>
        <w:pStyle w:val="BodyText"/>
      </w:pPr>
      <w:r>
        <w:t>La version 1.0 est lancée par Windows Script Host avec une fenêtre PowerShell masquée. Aucune fenêtre DOS ou PowerShell ne doit rester ouverte. Fermer une ancienne fenêtre noire ne doit plus arrêter l’application.</w:t>
      </w:r>
    </w:p>
    <w:p>
      <w:pPr>
        <w:pStyle w:val="Heading2"/>
        <w:keepNext/>
      </w:pPr>
      <w:r>
        <w:t>11.1 Relancer après une fermeture</w:t>
      </w:r>
    </w:p>
    <w:p>
      <w:pPr>
        <w:pStyle w:val="ListBullet"/>
      </w:pPr>
      <w:r>
        <w:rPr>
          <w:rFonts w:ascii="Noto Sans" w:hAnsi="Noto Sans"/>
          <w:b w:val="0"/>
          <w:i w:val="0"/>
          <w:sz w:val="21"/>
        </w:rPr>
        <w:t>Double-cliquez sur « Relancer Alerte Agenda » sur le Bureau.</w:t>
      </w:r>
    </w:p>
    <w:p>
      <w:pPr>
        <w:pStyle w:val="ListBullet"/>
      </w:pPr>
      <w:r>
        <w:rPr>
          <w:rFonts w:ascii="Noto Sans" w:hAnsi="Noto Sans"/>
          <w:b w:val="0"/>
          <w:i w:val="0"/>
          <w:sz w:val="21"/>
        </w:rPr>
        <w:t>Ou ouvrez le menu Démarrer, recherchez « Alerte Agenda », puis lancez-le.</w:t>
      </w:r>
    </w:p>
    <w:p>
      <w:pPr>
        <w:pStyle w:val="ListBullet"/>
      </w:pPr>
      <w:r>
        <w:rPr>
          <w:rFonts w:ascii="Noto Sans" w:hAnsi="Noto Sans"/>
          <w:b w:val="0"/>
          <w:i w:val="0"/>
          <w:sz w:val="21"/>
        </w:rPr>
        <w:t>Au prochain démarrage de la session Windows, le logiciel est relancé automatiquement.</w:t>
      </w:r>
    </w:p>
    <w:p>
      <w:pPr>
        <w:pStyle w:val="Heading2"/>
        <w:keepNext/>
      </w:pPr>
      <w:r>
        <w:t>11.2 Arrêt volontaire</w:t>
      </w:r>
    </w:p>
    <w:p>
      <w:pPr>
        <w:pStyle w:val="BodyText"/>
      </w:pPr>
      <w:r>
        <w:rPr>
          <w:rFonts w:ascii="Noto Sans" w:hAnsi="Noto Sans"/>
          <w:b w:val="0"/>
          <w:i w:val="0"/>
          <w:sz w:val="21"/>
        </w:rPr>
        <w:t>Pour arrêter proprement le logiciel, faites un clic droit sur l’icône puis choisissez « Quitter Alerte Agenda ». L’icône disparaît et aucune alarme ne sera surveillée jusqu’à la prochaine relance.</w:t>
      </w:r>
    </w:p>
    <w:p>
      <w:pPr>
        <w:pStyle w:val="Heading1"/>
        <w:keepNext/>
      </w:pPr>
      <w:r>
        <w:t>12. Installer le logiciel sur d’autres ordinateurs</w:t>
      </w:r>
    </w:p>
    <w:p>
      <w:pPr>
        <w:pStyle w:val="BodyText"/>
      </w:pPr>
      <w:r>
        <w:t>Conservez l’archive ZIP V1.0 finale sur votre ordinateur, une clé USB ou un espace de sauvegarde. Sur chaque nouvel ordinateur, décompressez l’archive et lancez INSTALLER_V10_SANS_FENETRE.vbs.</w:t>
      </w:r>
    </w:p>
    <w:p>
      <w:pPr>
        <w:pStyle w:val="ListBullet"/>
      </w:pPr>
      <w:r>
        <w:t>Le ZIP contient les quatre sons historiques choisis par l’utilisateur, les vingt boucles WAV intégrées, la licence des sons originaux et la présente notice ; il ne contient pas votre lien iCal personnel.</w:t>
      </w:r>
    </w:p>
    <w:p>
      <w:pPr>
        <w:pStyle w:val="ListBullet"/>
      </w:pPr>
      <w:r>
        <w:rPr>
          <w:rFonts w:ascii="Noto Sans" w:hAnsi="Noto Sans"/>
          <w:b w:val="0"/>
          <w:i w:val="0"/>
          <w:sz w:val="21"/>
        </w:rPr>
        <w:t>Chaque ordinateur doit recevoir le lien secret lors de son installation.</w:t>
      </w:r>
    </w:p>
    <w:p>
      <w:pPr>
        <w:pStyle w:val="ListBullet"/>
      </w:pPr>
      <w:r>
        <w:rPr>
          <w:rFonts w:ascii="Noto Sans" w:hAnsi="Noto Sans"/>
          <w:b w:val="0"/>
          <w:i w:val="0"/>
          <w:sz w:val="21"/>
        </w:rPr>
        <w:t>Les sons ou images personnels sélectionnés après l’installation sont copiés localement sur l’ordinateur concerné.</w:t>
      </w:r>
    </w:p>
    <w:p>
      <w:pPr>
        <w:pStyle w:val="ListBullet"/>
      </w:pPr>
      <w:r>
        <w:rPr>
          <w:rFonts w:ascii="Noto Sans" w:hAnsi="Noto Sans"/>
          <w:b w:val="0"/>
          <w:i w:val="0"/>
          <w:sz w:val="21"/>
        </w:rPr>
        <w:t>Pour reproduire une personnalisation sur plusieurs ordinateurs, conservez aussi les fichiers audio et images d’origine, puis sélectionnez-les sur chaque machine.</w:t>
      </w:r>
    </w:p>
    <w:tbl>
      <w:tblPr>
        <w:tblW w:type="auto" w:w="0"/>
        <w:jc w:val="center"/>
        <w:tblLayout w:type="fixed"/>
        <w:tblLook w:firstColumn="1" w:firstRow="1" w:lastColumn="0" w:lastRow="0" w:noHBand="0" w:noVBand="1" w:val="04A0"/>
      </w:tblPr>
      <w:tblGrid>
        <w:gridCol w:w="9468"/>
      </w:tblGrid>
      <w:tr>
        <w:trPr>
          <w:cantSplit/>
        </w:trPr>
        <w:tc>
          <w:tcPr>
            <w:tcW w:type="dxa" w:w="9978"/>
            <w:shd w:fill="EAF6EC"/>
            <w:tcBorders>
              <w:top w:val="single" w:sz="4" w:color="EAF6EC"/>
              <w:left w:val="single" w:sz="18" w:color="2E7D32"/>
              <w:bottom w:val="single" w:sz="4" w:color="EAF6EC"/>
              <w:right w:val="single" w:sz="4" w:color="EAF6EC"/>
            </w:tcBorders>
            <w:vAlign w:val="center"/>
          </w:tcPr>
          <w:p>
            <w:pPr>
              <w:spacing w:before="20" w:after="40" w:line="252" w:lineRule="auto"/>
            </w:pPr>
            <w:r>
              <w:rPr>
                <w:rFonts w:ascii="Noto Sans" w:hAnsi="Noto Sans"/>
                <w:b/>
                <w:i w:val="0"/>
                <w:color w:val="2E7D32"/>
                <w:sz w:val="23"/>
              </w:rPr>
              <w:t>Confidentialité</w:t>
            </w:r>
          </w:p>
          <w:p>
            <w:pPr>
              <w:spacing w:before="20" w:after="40" w:line="252" w:lineRule="auto"/>
            </w:pPr>
            <w:r>
              <w:rPr>
                <w:rFonts w:ascii="Noto Sans" w:hAnsi="Noto Sans"/>
                <w:b w:val="0"/>
                <w:i w:val="0"/>
                <w:sz w:val="20"/>
              </w:rPr>
              <w:t>Ne placez jamais votre adresse secrète iCal dans une archive destinée à être partagée. Le paquet fourni ne contient pas votre lien personnel.</w:t>
            </w:r>
          </w:p>
        </w:tc>
      </w:tr>
    </w:tbl>
    <w:p>
      <w:pPr>
        <w:spacing w:after="0"/>
      </w:pPr>
    </w:p>
    <w:p>
      <w:pPr>
        <w:pStyle w:val="Heading1"/>
        <w:keepNext/>
      </w:pPr>
      <w:r>
        <w:t>13. Dépannage rapide et sécurité</w:t>
      </w:r>
    </w:p>
    <w:tbl>
      <w:tblPr>
        <w:tblStyle w:val="TableGrid"/>
        <w:tblW w:type="auto" w:w="0"/>
        <w:jc w:val="center"/>
        <w:tblLook w:firstColumn="1" w:firstRow="1" w:lastColumn="0" w:lastRow="0" w:noHBand="0" w:noVBand="1" w:val="04A0"/>
      </w:tblPr>
      <w:tblGrid>
        <w:gridCol w:w="4989"/>
        <w:gridCol w:w="4989"/>
      </w:tblGrid>
      <w:tr>
        <w:trPr>
          <w:tblHeader w:val="true"/>
          <w:cantSplit/>
        </w:trPr>
        <w:tc>
          <w:tcPr>
            <w:tcW w:type="dxa" w:w="4989"/>
            <w:shd w:fill="123A5A"/>
            <w:vAlign w:val="center"/>
          </w:tcPr>
          <w:p>
            <w:pPr>
              <w:spacing w:after="40" w:before="20" w:line="252" w:lineRule="auto"/>
            </w:pPr>
            <w:r>
              <w:rPr>
                <w:rFonts w:ascii="Noto Sans" w:hAnsi="Noto Sans"/>
                <w:b/>
                <w:i w:val="0"/>
                <w:color w:val="FFFFFF"/>
                <w:sz w:val="19"/>
              </w:rPr>
              <w:t>Symptôme</w:t>
            </w:r>
          </w:p>
        </w:tc>
        <w:tc>
          <w:tcPr>
            <w:tcW w:type="dxa" w:w="4989"/>
            <w:shd w:fill="123A5A"/>
            <w:vAlign w:val="center"/>
          </w:tcPr>
          <w:p>
            <w:pPr>
              <w:spacing w:after="40" w:before="20" w:line="252" w:lineRule="auto"/>
            </w:pPr>
            <w:r>
              <w:rPr>
                <w:rFonts w:ascii="Noto Sans" w:hAnsi="Noto Sans"/>
                <w:b/>
                <w:i w:val="0"/>
                <w:color w:val="FFFFFF"/>
                <w:sz w:val="19"/>
              </w:rPr>
              <w:t>Action recommandée</w:t>
            </w:r>
          </w:p>
        </w:tc>
      </w:tr>
      <w:tr>
        <w:trPr>
          <w:cantSplit/>
        </w:trPr>
        <w:tc>
          <w:tcPr>
            <w:tcW w:type="dxa" w:w="4989"/>
            <w:vAlign w:val="center"/>
          </w:tcPr>
          <w:p>
            <w:pPr>
              <w:spacing w:after="40" w:before="20" w:line="252" w:lineRule="auto"/>
            </w:pPr>
            <w:r>
              <w:rPr>
                <w:rFonts w:ascii="Noto Sans" w:hAnsi="Noto Sans"/>
                <w:b/>
                <w:i w:val="0"/>
                <w:color w:val="B3261E"/>
                <w:sz w:val="18"/>
              </w:rPr>
              <w:t>L’icône a disparu</w:t>
            </w:r>
          </w:p>
        </w:tc>
        <w:tc>
          <w:tcPr>
            <w:tcW w:type="dxa" w:w="4989"/>
            <w:vAlign w:val="center"/>
          </w:tcPr>
          <w:p>
            <w:pPr>
              <w:spacing w:after="40" w:before="20" w:line="252" w:lineRule="auto"/>
            </w:pPr>
            <w:r>
              <w:rPr>
                <w:rFonts w:ascii="Noto Sans" w:hAnsi="Noto Sans"/>
                <w:b w:val="0"/>
                <w:i w:val="0"/>
                <w:sz w:val="18"/>
              </w:rPr>
              <w:t>double-cliquez sur « Relancer Alerte Agenda », puis vérifiez les icônes masquées.</w:t>
            </w:r>
          </w:p>
        </w:tc>
      </w:tr>
      <w:tr>
        <w:trPr>
          <w:cantSplit/>
        </w:trPr>
        <w:tc>
          <w:tcPr>
            <w:tcW w:type="dxa" w:w="4989"/>
            <w:vAlign w:val="center"/>
          </w:tcPr>
          <w:p>
            <w:pPr>
              <w:spacing w:after="40" w:before="20" w:line="252" w:lineRule="auto"/>
            </w:pPr>
            <w:r>
              <w:rPr>
                <w:rFonts w:ascii="Noto Sans" w:hAnsi="Noto Sans"/>
                <w:b/>
                <w:i w:val="0"/>
                <w:color w:val="B3261E"/>
                <w:sz w:val="18"/>
              </w:rPr>
              <w:t>Les tests fonctionnent, pas les vrais événements</w:t>
            </w:r>
          </w:p>
        </w:tc>
        <w:tc>
          <w:tcPr>
            <w:tcW w:type="dxa" w:w="4989"/>
            <w:vAlign w:val="center"/>
          </w:tcPr>
          <w:p>
            <w:pPr>
              <w:spacing w:after="40" w:before="20" w:line="252" w:lineRule="auto"/>
            </w:pPr>
            <w:r>
              <w:rPr>
                <w:rFonts w:ascii="Noto Sans" w:hAnsi="Noto Sans"/>
                <w:b w:val="0"/>
                <w:i w:val="0"/>
                <w:sz w:val="18"/>
              </w:rPr>
              <w:t>remplacez l’adresse publique par l’Adresse secrète au format iCal, puis synchronisez manuellement.</w:t>
            </w:r>
          </w:p>
        </w:tc>
      </w:tr>
      <w:tr>
        <w:trPr>
          <w:cantSplit/>
        </w:trPr>
        <w:tc>
          <w:tcPr>
            <w:tcW w:type="dxa" w:w="4989"/>
            <w:vAlign w:val="center"/>
          </w:tcPr>
          <w:p>
            <w:pPr>
              <w:spacing w:after="40" w:before="20" w:line="252" w:lineRule="auto"/>
            </w:pPr>
            <w:r>
              <w:rPr>
                <w:rFonts w:ascii="Noto Sans" w:hAnsi="Noto Sans"/>
                <w:b/>
                <w:i w:val="0"/>
                <w:color w:val="B3261E"/>
                <w:sz w:val="18"/>
              </w:rPr>
              <w:t>Un son personnel ne joue pas</w:t>
            </w:r>
          </w:p>
        </w:tc>
        <w:tc>
          <w:tcPr>
            <w:tcW w:type="dxa" w:w="4989"/>
            <w:vAlign w:val="center"/>
          </w:tcPr>
          <w:p>
            <w:pPr>
              <w:spacing w:after="40" w:before="20" w:line="252" w:lineRule="auto"/>
            </w:pPr>
            <w:r>
              <w:rPr>
                <w:rFonts w:ascii="Noto Sans" w:hAnsi="Noto Sans"/>
                <w:b w:val="0"/>
                <w:i w:val="0"/>
                <w:sz w:val="18"/>
              </w:rPr>
              <w:t>vérifiez son extension, son existence et testez de préférence un fichier MP3.</w:t>
            </w:r>
          </w:p>
        </w:tc>
      </w:tr>
      <w:tr>
        <w:trPr>
          <w:cantSplit/>
        </w:trPr>
        <w:tc>
          <w:tcPr>
            <w:tcW w:type="dxa" w:w="4989"/>
            <w:vAlign w:val="center"/>
          </w:tcPr>
          <w:p>
            <w:pPr>
              <w:spacing w:after="40" w:before="20" w:line="252" w:lineRule="auto"/>
            </w:pPr>
            <w:r>
              <w:rPr>
                <w:rFonts w:ascii="Noto Sans" w:hAnsi="Noto Sans"/>
                <w:b/>
                <w:i w:val="0"/>
                <w:color w:val="B3261E"/>
                <w:sz w:val="18"/>
              </w:rPr>
              <w:t>Le MIDI est trop faible ou différent</w:t>
            </w:r>
          </w:p>
        </w:tc>
        <w:tc>
          <w:tcPr>
            <w:tcW w:type="dxa" w:w="4989"/>
            <w:vAlign w:val="center"/>
          </w:tcPr>
          <w:p>
            <w:pPr>
              <w:spacing w:after="40" w:before="20" w:line="252" w:lineRule="auto"/>
            </w:pPr>
            <w:r>
              <w:rPr>
                <w:rFonts w:ascii="Noto Sans" w:hAnsi="Noto Sans"/>
                <w:b w:val="0"/>
                <w:i w:val="0"/>
                <w:sz w:val="18"/>
              </w:rPr>
              <w:t>le synthétiseur Windows varie selon la machine ; convertissez le son en MP3 pour un résultat stable.</w:t>
            </w:r>
          </w:p>
        </w:tc>
      </w:tr>
      <w:tr>
        <w:trPr>
          <w:cantSplit/>
        </w:trPr>
        <w:tc>
          <w:tcPr>
            <w:tcW w:type="dxa" w:w="4989"/>
            <w:vAlign w:val="center"/>
          </w:tcPr>
          <w:p>
            <w:pPr>
              <w:spacing w:after="40" w:before="20" w:line="252" w:lineRule="auto"/>
            </w:pPr>
            <w:r>
              <w:rPr>
                <w:rFonts w:ascii="Noto Sans" w:hAnsi="Noto Sans"/>
                <w:b/>
                <w:i w:val="0"/>
                <w:color w:val="B3261E"/>
                <w:sz w:val="18"/>
              </w:rPr>
              <w:t>L’image rend le texte illisible</w:t>
            </w:r>
          </w:p>
        </w:tc>
        <w:tc>
          <w:tcPr>
            <w:tcW w:type="dxa" w:w="4989"/>
            <w:vAlign w:val="center"/>
          </w:tcPr>
          <w:p>
            <w:pPr>
              <w:spacing w:after="40" w:before="20" w:line="252" w:lineRule="auto"/>
            </w:pPr>
            <w:r>
              <w:rPr>
                <w:rFonts w:ascii="Noto Sans" w:hAnsi="Noto Sans"/>
                <w:b w:val="0"/>
                <w:i w:val="0"/>
                <w:sz w:val="18"/>
              </w:rPr>
              <w:t>augmentez l’opacité du voile de couleur ou choisissez une image plus sombre et moins chargée.</w:t>
            </w:r>
          </w:p>
        </w:tc>
      </w:tr>
      <w:tr>
        <w:trPr>
          <w:cantSplit/>
        </w:trPr>
        <w:tc>
          <w:tcPr>
            <w:tcW w:type="dxa" w:w="4989"/>
            <w:vAlign w:val="center"/>
          </w:tcPr>
          <w:p>
            <w:pPr>
              <w:spacing w:after="40" w:before="20" w:line="252" w:lineRule="auto"/>
            </w:pPr>
            <w:r>
              <w:rPr>
                <w:rFonts w:ascii="Noto Sans" w:hAnsi="Noto Sans"/>
                <w:b/>
                <w:i w:val="0"/>
                <w:color w:val="B3261E"/>
                <w:sz w:val="18"/>
              </w:rPr>
              <w:t>Le logiciel semble arrêté</w:t>
            </w:r>
          </w:p>
        </w:tc>
        <w:tc>
          <w:tcPr>
            <w:tcW w:type="dxa" w:w="4989"/>
            <w:vAlign w:val="center"/>
          </w:tcPr>
          <w:p>
            <w:pPr>
              <w:spacing w:after="40" w:before="20" w:line="252" w:lineRule="auto"/>
            </w:pPr>
            <w:r>
              <w:rPr>
                <w:rFonts w:ascii="Noto Sans" w:hAnsi="Noto Sans"/>
                <w:b w:val="0"/>
                <w:i w:val="0"/>
                <w:sz w:val="18"/>
              </w:rPr>
              <w:t>ouvrez le raccourci « Vérifier Alerte Agenda » ; un diagnostic est créé sur le Bureau.</w:t>
            </w:r>
          </w:p>
        </w:tc>
      </w:tr>
    </w:tbl>
    <w:p>
      <w:pPr>
        <w:pStyle w:val="Heading2"/>
        <w:keepNext/>
      </w:pPr>
      <w:r>
        <w:t>13.1 Fichiers et confidentialité</w:t>
      </w:r>
    </w:p>
    <w:p>
      <w:pPr>
        <w:pStyle w:val="BodyText"/>
      </w:pPr>
      <w:r>
        <w:rPr>
          <w:rFonts w:ascii="Noto Sans" w:hAnsi="Noto Sans"/>
          <w:b w:val="0"/>
          <w:i w:val="0"/>
          <w:sz w:val="21"/>
        </w:rPr>
        <w:t>Les informations sont conservées dans le dossier %LOCALAPPDATA%\AlerteAgenda. Le symbole %LOCALAPPDATA% désigne le dossier de données locales associé à votre compte Windows. Le lien iCal est enregistré localement ; ne transmettez pas ce dossier à un tiers.</w:t>
      </w:r>
    </w:p>
    <w:p>
      <w:pPr>
        <w:pStyle w:val="Heading2"/>
        <w:keepNext/>
      </w:pPr>
      <w:r>
        <w:t>13.2 Désinstallation</w:t>
      </w:r>
    </w:p>
    <w:p>
      <w:pPr>
        <w:pStyle w:val="BodyText"/>
      </w:pPr>
      <w:r>
        <w:t>La méthode recommandée est désormais la suivante : ouvrez le menu Démarrer, recherchez « Alerte Agenda », ouvrez le dossier du même nom, puis cliquez sur « Désinstaller Alerte Agenda ». Confirmez uniquement si vous souhaitez supprimer complètement le programme et toutes ses données locales. La commande retire le moteur, le démarrage automatique, les raccourcis, le lien iCal, les réglages, le cache ainsi que les sons et images personnalisés de cet ordinateur. L’archive ZIP conservée ailleurs n’est pas supprimée. Le fichier desinstaller_sans_fenetre.vbs présent dans l’archive reste une méthode de secours.</w:t>
      </w:r>
    </w:p>
    <w:tbl>
      <w:tblPr>
        <w:tblW w:type="auto" w:w="0"/>
        <w:jc w:val="center"/>
        <w:tblLayout w:type="fixed"/>
        <w:tblLook w:firstColumn="1" w:firstRow="1" w:lastColumn="0" w:lastRow="0" w:noHBand="0" w:noVBand="1" w:val="04A0"/>
      </w:tblPr>
      <w:tblGrid>
        <w:gridCol w:w="9468"/>
      </w:tblGrid>
      <w:tr>
        <w:trPr>
          <w:cantSplit/>
        </w:trPr>
        <w:tc>
          <w:tcPr>
            <w:tcW w:type="dxa" w:w="9978"/>
            <w:shd w:fill="EAF3FA"/>
            <w:tcBorders>
              <w:top w:val="single" w:sz="4" w:color="EAF3FA"/>
              <w:left w:val="single" w:sz="18" w:color="1E5A8A"/>
              <w:bottom w:val="single" w:sz="4" w:color="EAF3FA"/>
              <w:right w:val="single" w:sz="4" w:color="EAF3FA"/>
            </w:tcBorders>
            <w:vAlign w:val="center"/>
          </w:tcPr>
          <w:p>
            <w:pPr>
              <w:spacing w:before="20" w:after="40" w:line="252" w:lineRule="auto"/>
            </w:pPr>
            <w:r>
              <w:rPr>
                <w:rFonts w:ascii="Noto Sans" w:hAnsi="Noto Sans"/>
                <w:b/>
                <w:i w:val="0"/>
                <w:color w:val="1E5A8A"/>
                <w:sz w:val="23"/>
              </w:rPr>
              <w:t>Résumé final</w:t>
            </w:r>
          </w:p>
          <w:p>
            <w:pPr>
              <w:spacing w:before="20" w:after="40" w:line="252" w:lineRule="auto"/>
            </w:pPr>
            <w:r>
              <w:rPr>
                <w:rFonts w:ascii="Noto Sans" w:hAnsi="Noto Sans"/>
                <w:b w:val="0"/>
                <w:i w:val="0"/>
                <w:sz w:val="20"/>
              </w:rPr>
              <w:t>Pour une utilisation fiable : utilisez le lien iCal secret, vérifiez qu’un événement réel apparaît dans « Voir les prochains rendez-vous », conservez l’icône active et testez toute nouvelle personnalisation. Les trois reports par défaut sont 5 minutes, 15 minutes et 1 heure.</w:t>
            </w:r>
          </w:p>
        </w:tc>
      </w:tr>
    </w:tbl>
    <w:p>
      <w:pPr>
        <w:spacing w:after="0"/>
      </w:pPr>
    </w:p>
    <w:p>
      <w:pPr>
        <w:pStyle w:val="Heading1"/>
        <w:keepNext/>
      </w:pPr>
      <w:r>
        <w:t>14. Dossier du logiciel, déplacement et désinstallation complète</w:t>
      </w:r>
    </w:p>
    <w:p>
      <w:pPr>
        <w:pStyle w:val="Heading2"/>
        <w:keepNext/>
      </w:pPr>
      <w:r>
        <w:t>14.1 Où se trouve la copie active ?</w:t>
      </w:r>
    </w:p>
    <w:p>
      <w:pPr>
        <w:pStyle w:val="BodyText"/>
      </w:pPr>
      <w:r>
        <w:t>Alerte Agenda est installé pour votre compte Windows dans le dossier suivant :</w:t>
      </w:r>
    </w:p>
    <w:p>
      <w:pPr>
        <w:pStyle w:val="IntenseQuote"/>
      </w:pPr>
      <w:r>
        <w:t>%LOCALAPPDATA%\AlerteAgenda</w:t>
      </w:r>
    </w:p>
    <w:p>
      <w:pPr>
        <w:pStyle w:val="BodyText"/>
      </w:pPr>
      <w:r>
        <w:t>Le symbole %LOCALAPPDATA% est une variable Windows. Il représente généralement le dossier C:\Users\VotreNom\AppData\Local. Vous n’avez pas besoin de rechercher manuellement le dossier AppData : ouvrez le menu Démarrer, recherchez « Alerte Agenda », puis cliquez sur « Ouvrir le dossier du logiciel ». La même commande est disponible par clic droit sur l’icône près de l’horloge.</w:t>
      </w:r>
    </w:p>
    <w:p>
      <w:pPr>
        <w:pStyle w:val="Heading2"/>
        <w:keepNext/>
      </w:pPr>
      <w:r>
        <w:t>14.2 Quel dossier peut être déplacé ?</w:t>
      </w:r>
    </w:p>
    <w:p>
      <w:pPr>
        <w:pStyle w:val="BodyText"/>
      </w:pPr>
      <w:r>
        <w:t>Il faut distinguer la source d’installation de la copie active :</w:t>
      </w:r>
    </w:p>
    <w:p>
      <w:pPr>
        <w:pStyle w:val="ListBullet"/>
      </w:pPr>
      <w:r>
        <w:t>L’archive ZIP et son dossier extrait constituent la source d’installation et de sauvegarde. Vous pouvez les déplacer librement vers un autre dossier, une clé USB, un disque externe ou un autre ordinateur. Après l’installation, ils ne sont pas nécessaires au fonctionnement quotidien.</w:t>
      </w:r>
    </w:p>
    <w:p>
      <w:pPr>
        <w:pStyle w:val="ListBullet"/>
      </w:pPr>
      <w:r>
        <w:t>Le dossier actif %LOCALAPPDATA%\AlerteAgenda contient le programme réellement lancé par Windows. Ne le déplacez pas manuellement : le démarrage automatique et les raccourcis du menu Démarrer pointent vers cet emplacement fixe. Pour installer le logiciel sur un autre ordinateur, utilisez simplement l’archive ZIP.</w:t>
      </w:r>
    </w:p>
    <w:p>
      <w:pPr>
        <w:pStyle w:val="Heading2"/>
        <w:keepNext/>
      </w:pPr>
      <w:r>
        <w:t>14.3 Désinstaller depuis le menu Démarrer</w:t>
      </w:r>
    </w:p>
    <w:p>
      <w:pPr>
        <w:pStyle w:val="ListNumber"/>
      </w:pPr>
      <w:r>
        <w:t>Ouvrez le menu Démarrer de Windows.</w:t>
      </w:r>
    </w:p>
    <w:p>
      <w:pPr>
        <w:pStyle w:val="ListNumber"/>
      </w:pPr>
      <w:r>
        <w:t>Recherchez « Alerte Agenda » et ouvrez le dossier correspondant.</w:t>
      </w:r>
    </w:p>
    <w:p>
      <w:pPr>
        <w:pStyle w:val="ListNumber"/>
      </w:pPr>
      <w:r>
        <w:t>Cliquez sur « Désinstaller Alerte Agenda ».</w:t>
      </w:r>
    </w:p>
    <w:p>
      <w:pPr>
        <w:pStyle w:val="ListNumber"/>
      </w:pPr>
      <w:r>
        <w:t>Lisez l’avertissement, puis confirmez uniquement si vous souhaitez supprimer complètement le logiciel et ses données locales.</w:t>
      </w:r>
    </w:p>
    <w:p>
      <w:pPr>
        <w:pStyle w:val="BodyText"/>
      </w:pPr>
      <w:r>
        <w:t>La désinstallation complète supprime le programme, l’icône, le démarrage automatique, tous les raccourcis, le lien iCal enregistré, les réglages des alarmes et des reports, le cache des rendez-vous ainsi que les sons et images personnalisés. Elle ne supprime jamais une archive ZIP que vous avez sauvegardée dans un autre dossier.</w:t>
      </w:r>
    </w:p>
    <w:p>
      <w:pPr>
        <w:pStyle w:val="Heading2"/>
        <w:keepNext/>
      </w:pPr>
      <w:r>
        <w:t>14.4 Raccourcis créés dans le menu Démarrer</w:t>
      </w:r>
    </w:p>
    <w:tbl>
      <w:tblPr>
        <w:tblStyle w:val="TableGrid"/>
        <w:tblW w:type="auto" w:w="0"/>
        <w:jc w:val="center"/>
        <w:tblLook w:firstColumn="1" w:firstRow="1" w:lastColumn="0" w:lastRow="0" w:noHBand="0" w:noVBand="1" w:val="04A0"/>
      </w:tblPr>
      <w:tblGrid>
        <w:gridCol w:w="4989"/>
        <w:gridCol w:w="4989"/>
      </w:tblGrid>
      <w:tr>
        <w:tc>
          <w:tcPr>
            <w:tcW w:type="dxa" w:w="4989"/>
            <w:vAlign w:val="center"/>
          </w:tcPr>
          <w:p>
            <w:r>
              <w:t>Commande</w:t>
            </w:r>
          </w:p>
        </w:tc>
        <w:tc>
          <w:tcPr>
            <w:tcW w:type="dxa" w:w="4989"/>
            <w:vAlign w:val="center"/>
          </w:tcPr>
          <w:p>
            <w:r>
              <w:t>Fonction</w:t>
            </w:r>
          </w:p>
        </w:tc>
      </w:tr>
      <w:tr>
        <w:tc>
          <w:tcPr>
            <w:tcW w:type="dxa" w:w="4989"/>
            <w:vAlign w:val="center"/>
          </w:tcPr>
          <w:p>
            <w:r>
              <w:t>Alerte Agenda</w:t>
            </w:r>
          </w:p>
        </w:tc>
        <w:tc>
          <w:tcPr>
            <w:tcW w:type="dxa" w:w="4989"/>
            <w:vAlign w:val="center"/>
          </w:tcPr>
          <w:p>
            <w:r>
              <w:t>Lance ou relance le programme en arrière-plan.</w:t>
            </w:r>
          </w:p>
        </w:tc>
      </w:tr>
      <w:tr>
        <w:tc>
          <w:tcPr>
            <w:tcW w:type="dxa" w:w="4989"/>
            <w:vAlign w:val="center"/>
          </w:tcPr>
          <w:p>
            <w:r>
              <w:t>Personnaliser Alerte Agenda</w:t>
            </w:r>
          </w:p>
        </w:tc>
        <w:tc>
          <w:tcPr>
            <w:tcW w:type="dxa" w:w="4989"/>
            <w:vAlign w:val="center"/>
          </w:tcPr>
          <w:p>
            <w:r>
              <w:t>Ouvre les dix créneaux, les sons, l’image et les trois reports.</w:t>
            </w:r>
          </w:p>
        </w:tc>
      </w:tr>
      <w:tr>
        <w:tc>
          <w:tcPr>
            <w:tcW w:type="dxa" w:w="4989"/>
            <w:vAlign w:val="center"/>
          </w:tcPr>
          <w:p>
            <w:r>
              <w:t>Vérifier Alerte Agenda</w:t>
            </w:r>
          </w:p>
        </w:tc>
        <w:tc>
          <w:tcPr>
            <w:tcW w:type="dxa" w:w="4989"/>
            <w:vAlign w:val="center"/>
          </w:tcPr>
          <w:p>
            <w:r>
              <w:t>Crée un diagnostic technique sur le Bureau.</w:t>
            </w:r>
          </w:p>
        </w:tc>
      </w:tr>
      <w:tr>
        <w:tc>
          <w:tcPr>
            <w:tcW w:type="dxa" w:w="4989"/>
            <w:vAlign w:val="center"/>
          </w:tcPr>
          <w:p>
            <w:r>
              <w:t>Ouvrir le dossier du logiciel</w:t>
            </w:r>
          </w:p>
        </w:tc>
        <w:tc>
          <w:tcPr>
            <w:tcW w:type="dxa" w:w="4989"/>
            <w:vAlign w:val="center"/>
          </w:tcPr>
          <w:p>
            <w:r>
              <w:t>Affiche %LOCALAPPDATA%\AlerteAgenda dans l’Explorateur.</w:t>
            </w:r>
          </w:p>
        </w:tc>
      </w:tr>
      <w:tr>
        <w:tc>
          <w:tcPr>
            <w:tcW w:type="dxa" w:w="4989"/>
            <w:vAlign w:val="center"/>
          </w:tcPr>
          <w:p>
            <w:r>
              <w:t>Désinstaller Alerte Agenda</w:t>
            </w:r>
          </w:p>
        </w:tc>
        <w:tc>
          <w:tcPr>
            <w:tcW w:type="dxa" w:w="4989"/>
            <w:vAlign w:val="center"/>
          </w:tcPr>
          <w:p>
            <w:r>
              <w:t>Supprime complètement le programme et ses données locales après confirmation.</w:t>
            </w:r>
          </w:p>
        </w:tc>
      </w:tr>
    </w:tbl>
    <w:p>
      <w:pPr>
        <w:spacing w:before="400" w:after="0" w:line="240" w:lineRule="auto"/>
        <w:jc w:val="center"/>
      </w:pPr>
      <w:r>
        <w:t>ALERTE AGENDA — VERSION 1.0</w:t>
      </w:r>
    </w:p>
    <w:p>
      <w:pPr>
        <w:jc w:val="center"/>
      </w:pPr>
      <w:r>
        <w:t>Notice conçue pour Windows 11 — 30 juillet 2026</w:t>
      </w:r>
    </w:p>
    <w:p>
      <w:r>
        <w:br w:type="page"/>
      </w:r>
    </w:p>
    <w:p>
      <w:pPr>
        <w:pStyle w:val="Heading1"/>
      </w:pPr>
      <w:r>
        <w:t>15. Horloge plein écran et gestion de plusieurs alarmes</w:t>
      </w:r>
    </w:p>
    <w:p>
      <w:pPr>
        <w:pStyle w:val="BodyText"/>
      </w:pPr>
      <w:r>
        <w:rPr>
          <w:b/>
        </w:rPr>
        <w:t xml:space="preserve">Horloge visible. </w:t>
      </w:r>
      <w:r>
        <w:t>La fenêtre plein écran affiche « IL EST : » suivi de l’heure au format heures:minutes:secondes. Une horloge analogique placée à côté montre les aiguilles des heures, des minutes et des secondes ; l’aiguille des secondes avance chaque seconde. Ces deux affichages peuvent être activés ou désactivés dans l’onglet « Image et affichage ».</w:t>
      </w:r>
    </w:p>
    <w:p>
      <w:pPr>
        <w:pStyle w:val="BodyText"/>
      </w:pPr>
      <w:r>
        <w:rPr>
          <w:b/>
        </w:rPr>
        <w:t xml:space="preserve">Durée musicale. </w:t>
      </w:r>
      <w:r>
        <w:t>Pour chaque créneau, la colonne « Durée » reçoit une valeur et la colonne « Unité son » reçoit Secondes, Minutes, Heures ou Jusqu’à fermeture. Exemple : saisissez 10 et choisissez Minutes pour obtenir dix minutes de musique en boucle.</w:t>
      </w:r>
    </w:p>
    <w:p>
      <w:pPr>
        <w:pStyle w:val="Heading2"/>
      </w:pPr>
      <w:r>
        <w:t>15.1 Priorité de la dernière alarme</w:t>
      </w:r>
    </w:p>
    <w:p>
      <w:pPr>
        <w:pStyle w:val="BodyText"/>
      </w:pPr>
      <w:r>
        <w:rPr>
          <w:b w:val="0"/>
        </w:rPr>
        <w:t xml:space="preserve">Lorsqu’une nouvelle alarme se déclenche pendant qu’une musique est encore en cours, la nouvelle alarme prend immédiatement le relais : </w:t>
      </w:r>
      <w:r>
        <w:rPr>
          <w:b/>
        </w:rPr>
        <w:t>le son précédent s’arrête, le nouveau son commence et le rendez-vous le plus récent occupe la zone centrale.</w:t>
      </w:r>
      <w:r>
        <w:t xml:space="preserve"> Cette règle évite la superposition de deux musiques.</w:t>
      </w:r>
    </w:p>
    <w:p>
      <w:pPr>
        <w:pStyle w:val="Heading2"/>
      </w:pPr>
      <w:r>
        <w:t>15.2 Alarmes encore actives dans la colonne de droite</w:t>
      </w:r>
    </w:p>
    <w:p>
      <w:pPr>
        <w:pStyle w:val="ListBullet"/>
      </w:pPr>
      <w:r>
        <w:t>Toute alarme déclenchée et encore active reçoit un cadre coloré et clignotant dans la liste des rendez-vous du jour.</w:t>
      </w:r>
    </w:p>
    <w:p>
      <w:pPr>
        <w:pStyle w:val="ListBullet"/>
      </w:pPr>
      <w:r>
        <w:t>Le rendez-vous affiché au centre porte la mention « ALARME PRINCIPALE EN COURS ». Une alarme précédente porte la mention « ALARME ACTIVE – CLIQUEZ POUR L’AFFICHER ».</w:t>
      </w:r>
    </w:p>
    <w:p>
      <w:pPr>
        <w:pStyle w:val="ListBullet"/>
      </w:pPr>
      <w:r>
        <w:t>Cliquez sur le cadre d’une alarme précédente pour la replacer au centre. La musique correspondante reprend si l’alarme est toujours dans sa période active.</w:t>
      </w:r>
    </w:p>
    <w:p>
      <w:pPr>
        <w:pStyle w:val="ListBullet"/>
      </w:pPr>
      <w:r>
        <w:t>Une alarme non persistante quitte la liste active à la fin de sa durée. Une alarme persistante demeure active jusqu’à « J’AI VU – FERMER » ou jusqu’à un report.</w:t>
      </w:r>
    </w:p>
    <w:p>
      <w:pPr>
        <w:pStyle w:val="Heading2"/>
      </w:pPr>
      <w:r>
        <w:t>15.3 Exemple avec trois rendez-vous rapprochés</w:t>
      </w:r>
    </w:p>
    <w:p>
      <w:pPr>
        <w:pStyle w:val="BodyText"/>
      </w:pPr>
      <w:r>
        <w:rPr>
          <w:b/>
        </w:rPr>
        <w:t xml:space="preserve">Réglage : </w:t>
      </w:r>
      <w:r>
        <w:t>musique en boucle pendant dix minutes. Rendez-vous A à 16 h 01, B à 16 h 05 et C à 16 h 10. À 16 h 05, B remplace A au centre et au niveau sonore. À 16 h 10, C remplace B. La colonne de droite continue cependant à signaler A, B et C par des cadres clignotants tant que leurs alarmes restent actives.</w:t>
      </w:r>
    </w:p>
    <w:p>
      <w:pPr>
        <w:pStyle w:val="Heading1"/>
      </w:pPr>
      <w:r>
        <w:t>16. Bibliothèque de vingt sons intégrés et droits d’utilisation</w:t>
      </w:r>
    </w:p>
    <w:p>
      <w:pPr>
        <w:pStyle w:val="BodyText"/>
      </w:pPr>
      <w:r>
        <w:rPr>
          <w:b/>
        </w:rPr>
        <w:t xml:space="preserve">Recherche préalable. </w:t>
      </w:r>
      <w:r>
        <w:t>Des bibliothèques proposant des œuvres sous CC0 ont été identifiées, notamment OpenGameArt et Freesound. Comme la licence varie d’un fichier à l’autre et que la redistribution exige une vérification individuelle des métadonnées, la version V1.0 n’intègre aucun enregistrement téléchargé sur ces sites.</w:t>
      </w:r>
    </w:p>
    <w:p>
      <w:pPr>
        <w:pStyle w:val="BodyText"/>
      </w:pPr>
      <w:r>
        <w:rPr>
          <w:b/>
        </w:rPr>
        <w:t xml:space="preserve">Choix retenu. </w:t>
      </w:r>
      <w:r>
        <w:t>Les vingt sons proposés dans le logiciel sont des boucles synthétiques originales créées spécialement pour Alerte Agenda. Elles sont fournies en WAV afin de favoriser une répétition régulière et sont placées sous CC0 1.0 dans le fichier LICENCE_SONS_INTEGRES.txt. Les quatre fichiers historiques choisis par l’utilisateur restent les réglages par défaut et ne sont pas présentés comme des œuvres CC0.</w:t>
      </w:r>
    </w:p>
    <w:tbl>
      <w:tblPr>
        <w:tblStyle w:val="TableGrid"/>
        <w:tblW w:type="auto" w:w="0"/>
        <w:jc w:val="center"/>
        <w:tblLook w:firstColumn="1" w:firstRow="1" w:lastColumn="0" w:lastRow="0" w:noHBand="0" w:noVBand="1" w:val="04A0"/>
      </w:tblPr>
      <w:tblGrid>
        <w:gridCol w:w="3326"/>
        <w:gridCol w:w="3326"/>
        <w:gridCol w:w="3326"/>
      </w:tblGrid>
      <w:tr>
        <w:tc>
          <w:tcPr>
            <w:tcW w:type="dxa" w:w="680"/>
            <w:vAlign w:val="center"/>
            <w:shd w:fill="1F4E78"/>
          </w:tcPr>
          <w:p>
            <w:r>
              <w:rPr>
                <w:b/>
                <w:color w:val="FFFFFF"/>
                <w:sz w:val="18"/>
              </w:rPr>
              <w:t>N°</w:t>
            </w:r>
          </w:p>
        </w:tc>
        <w:tc>
          <w:tcPr>
            <w:tcW w:type="dxa" w:w="3685"/>
            <w:vAlign w:val="center"/>
            <w:shd w:fill="1F4E78"/>
          </w:tcPr>
          <w:p>
            <w:r>
              <w:rPr>
                <w:b/>
                <w:color w:val="FFFFFF"/>
                <w:sz w:val="18"/>
              </w:rPr>
              <w:t>Nom du son intégré</w:t>
            </w:r>
          </w:p>
        </w:tc>
        <w:tc>
          <w:tcPr>
            <w:tcW w:type="dxa" w:w="4819"/>
            <w:vAlign w:val="center"/>
            <w:shd w:fill="1F4E78"/>
          </w:tcPr>
          <w:p>
            <w:r>
              <w:rPr>
                <w:b/>
                <w:color w:val="FFFFFF"/>
                <w:sz w:val="18"/>
              </w:rPr>
              <w:t>Caractère général</w:t>
            </w:r>
          </w:p>
        </w:tc>
      </w:tr>
      <w:tr>
        <w:tc>
          <w:tcPr>
            <w:tcW w:type="dxa" w:w="680"/>
            <w:vAlign w:val="center"/>
          </w:tcPr>
          <w:p>
            <w:r>
              <w:rPr>
                <w:sz w:val="18"/>
              </w:rPr>
              <w:t>1</w:t>
            </w:r>
          </w:p>
        </w:tc>
        <w:tc>
          <w:tcPr>
            <w:tcW w:type="dxa" w:w="3685"/>
            <w:vAlign w:val="center"/>
          </w:tcPr>
          <w:p>
            <w:r>
              <w:rPr>
                <w:sz w:val="18"/>
              </w:rPr>
              <w:t>Aube claire</w:t>
            </w:r>
          </w:p>
        </w:tc>
        <w:tc>
          <w:tcPr>
            <w:tcW w:type="dxa" w:w="4819"/>
            <w:vAlign w:val="center"/>
          </w:tcPr>
          <w:p>
            <w:r>
              <w:rPr>
                <w:sz w:val="18"/>
              </w:rPr>
              <w:t>clair et harmonique</w:t>
            </w:r>
          </w:p>
        </w:tc>
      </w:tr>
      <w:tr>
        <w:tc>
          <w:tcPr>
            <w:tcW w:type="dxa" w:w="680"/>
            <w:vAlign w:val="center"/>
          </w:tcPr>
          <w:p>
            <w:r>
              <w:rPr>
                <w:sz w:val="18"/>
              </w:rPr>
              <w:t>2</w:t>
            </w:r>
          </w:p>
        </w:tc>
        <w:tc>
          <w:tcPr>
            <w:tcW w:type="dxa" w:w="3685"/>
            <w:vAlign w:val="center"/>
          </w:tcPr>
          <w:p>
            <w:r>
              <w:rPr>
                <w:sz w:val="18"/>
              </w:rPr>
              <w:t>Carillon doux</w:t>
            </w:r>
          </w:p>
        </w:tc>
        <w:tc>
          <w:tcPr>
            <w:tcW w:type="dxa" w:w="4819"/>
            <w:vAlign w:val="center"/>
          </w:tcPr>
          <w:p>
            <w:r>
              <w:rPr>
                <w:sz w:val="18"/>
              </w:rPr>
              <w:t>carillon léger</w:t>
            </w:r>
          </w:p>
        </w:tc>
      </w:tr>
      <w:tr>
        <w:tc>
          <w:tcPr>
            <w:tcW w:type="dxa" w:w="680"/>
            <w:vAlign w:val="center"/>
          </w:tcPr>
          <w:p>
            <w:r>
              <w:rPr>
                <w:sz w:val="18"/>
              </w:rPr>
              <w:t>3</w:t>
            </w:r>
          </w:p>
        </w:tc>
        <w:tc>
          <w:tcPr>
            <w:tcW w:type="dxa" w:w="3685"/>
            <w:vAlign w:val="center"/>
          </w:tcPr>
          <w:p>
            <w:r>
              <w:rPr>
                <w:sz w:val="18"/>
              </w:rPr>
              <w:t>Pulsation azur</w:t>
            </w:r>
          </w:p>
        </w:tc>
        <w:tc>
          <w:tcPr>
            <w:tcW w:type="dxa" w:w="4819"/>
            <w:vAlign w:val="center"/>
          </w:tcPr>
          <w:p>
            <w:r>
              <w:rPr>
                <w:sz w:val="18"/>
              </w:rPr>
              <w:t>pulsation électronique douce</w:t>
            </w:r>
          </w:p>
        </w:tc>
      </w:tr>
      <w:tr>
        <w:tc>
          <w:tcPr>
            <w:tcW w:type="dxa" w:w="680"/>
            <w:vAlign w:val="center"/>
          </w:tcPr>
          <w:p>
            <w:r>
              <w:rPr>
                <w:sz w:val="18"/>
              </w:rPr>
              <w:t>4</w:t>
            </w:r>
          </w:p>
        </w:tc>
        <w:tc>
          <w:tcPr>
            <w:tcW w:type="dxa" w:w="3685"/>
            <w:vAlign w:val="center"/>
          </w:tcPr>
          <w:p>
            <w:r>
              <w:rPr>
                <w:sz w:val="18"/>
              </w:rPr>
              <w:t>Radar calme</w:t>
            </w:r>
          </w:p>
        </w:tc>
        <w:tc>
          <w:tcPr>
            <w:tcW w:type="dxa" w:w="4819"/>
            <w:vAlign w:val="center"/>
          </w:tcPr>
          <w:p>
            <w:r>
              <w:rPr>
                <w:sz w:val="18"/>
              </w:rPr>
              <w:t>balise régulière et calme</w:t>
            </w:r>
          </w:p>
        </w:tc>
      </w:tr>
      <w:tr>
        <w:tc>
          <w:tcPr>
            <w:tcW w:type="dxa" w:w="680"/>
            <w:vAlign w:val="center"/>
          </w:tcPr>
          <w:p>
            <w:r>
              <w:rPr>
                <w:sz w:val="18"/>
              </w:rPr>
              <w:t>5</w:t>
            </w:r>
          </w:p>
        </w:tc>
        <w:tc>
          <w:tcPr>
            <w:tcW w:type="dxa" w:w="3685"/>
            <w:vAlign w:val="center"/>
          </w:tcPr>
          <w:p>
            <w:r>
              <w:rPr>
                <w:sz w:val="18"/>
              </w:rPr>
              <w:t>Cristal matinal</w:t>
            </w:r>
          </w:p>
        </w:tc>
        <w:tc>
          <w:tcPr>
            <w:tcW w:type="dxa" w:w="4819"/>
            <w:vAlign w:val="center"/>
          </w:tcPr>
          <w:p>
            <w:r>
              <w:rPr>
                <w:sz w:val="18"/>
              </w:rPr>
              <w:t>cristallin et aigu</w:t>
            </w:r>
          </w:p>
        </w:tc>
      </w:tr>
      <w:tr>
        <w:tc>
          <w:tcPr>
            <w:tcW w:type="dxa" w:w="680"/>
            <w:vAlign w:val="center"/>
          </w:tcPr>
          <w:p>
            <w:r>
              <w:rPr>
                <w:sz w:val="18"/>
              </w:rPr>
              <w:t>6</w:t>
            </w:r>
          </w:p>
        </w:tc>
        <w:tc>
          <w:tcPr>
            <w:tcW w:type="dxa" w:w="3685"/>
            <w:vAlign w:val="center"/>
          </w:tcPr>
          <w:p>
            <w:r>
              <w:rPr>
                <w:sz w:val="18"/>
              </w:rPr>
              <w:t>Marche légère</w:t>
            </w:r>
          </w:p>
        </w:tc>
        <w:tc>
          <w:tcPr>
            <w:tcW w:type="dxa" w:w="4819"/>
            <w:vAlign w:val="center"/>
          </w:tcPr>
          <w:p>
            <w:r>
              <w:rPr>
                <w:sz w:val="18"/>
              </w:rPr>
              <w:t>rythme léger</w:t>
            </w:r>
          </w:p>
        </w:tc>
      </w:tr>
      <w:tr>
        <w:tc>
          <w:tcPr>
            <w:tcW w:type="dxa" w:w="680"/>
            <w:vAlign w:val="center"/>
          </w:tcPr>
          <w:p>
            <w:r>
              <w:rPr>
                <w:sz w:val="18"/>
              </w:rPr>
              <w:t>7</w:t>
            </w:r>
          </w:p>
        </w:tc>
        <w:tc>
          <w:tcPr>
            <w:tcW w:type="dxa" w:w="3685"/>
            <w:vAlign w:val="center"/>
          </w:tcPr>
          <w:p>
            <w:r>
              <w:rPr>
                <w:sz w:val="18"/>
              </w:rPr>
              <w:t>Orbite synthétique</w:t>
            </w:r>
          </w:p>
        </w:tc>
        <w:tc>
          <w:tcPr>
            <w:tcW w:type="dxa" w:w="4819"/>
            <w:vAlign w:val="center"/>
          </w:tcPr>
          <w:p>
            <w:r>
              <w:rPr>
                <w:sz w:val="18"/>
              </w:rPr>
              <w:t>ambiance spatiale</w:t>
            </w:r>
          </w:p>
        </w:tc>
      </w:tr>
      <w:tr>
        <w:tc>
          <w:tcPr>
            <w:tcW w:type="dxa" w:w="680"/>
            <w:vAlign w:val="center"/>
          </w:tcPr>
          <w:p>
            <w:r>
              <w:rPr>
                <w:sz w:val="18"/>
              </w:rPr>
              <w:t>8</w:t>
            </w:r>
          </w:p>
        </w:tc>
        <w:tc>
          <w:tcPr>
            <w:tcW w:type="dxa" w:w="3685"/>
            <w:vAlign w:val="center"/>
          </w:tcPr>
          <w:p>
            <w:r>
              <w:rPr>
                <w:sz w:val="18"/>
              </w:rPr>
              <w:t>Cloche profonde</w:t>
            </w:r>
          </w:p>
        </w:tc>
        <w:tc>
          <w:tcPr>
            <w:tcW w:type="dxa" w:w="4819"/>
            <w:vAlign w:val="center"/>
          </w:tcPr>
          <w:p>
            <w:r>
              <w:rPr>
                <w:sz w:val="18"/>
              </w:rPr>
              <w:t>cloche grave</w:t>
            </w:r>
          </w:p>
        </w:tc>
      </w:tr>
      <w:tr>
        <w:tc>
          <w:tcPr>
            <w:tcW w:type="dxa" w:w="680"/>
            <w:vAlign w:val="center"/>
          </w:tcPr>
          <w:p>
            <w:r>
              <w:rPr>
                <w:sz w:val="18"/>
              </w:rPr>
              <w:t>9</w:t>
            </w:r>
          </w:p>
        </w:tc>
        <w:tc>
          <w:tcPr>
            <w:tcW w:type="dxa" w:w="3685"/>
            <w:vAlign w:val="center"/>
          </w:tcPr>
          <w:p>
            <w:r>
              <w:rPr>
                <w:sz w:val="18"/>
              </w:rPr>
              <w:t>Impulsion cuivre</w:t>
            </w:r>
          </w:p>
        </w:tc>
        <w:tc>
          <w:tcPr>
            <w:tcW w:type="dxa" w:w="4819"/>
            <w:vAlign w:val="center"/>
          </w:tcPr>
          <w:p>
            <w:r>
              <w:rPr>
                <w:sz w:val="18"/>
              </w:rPr>
              <w:t>impulsion chaude</w:t>
            </w:r>
          </w:p>
        </w:tc>
      </w:tr>
      <w:tr>
        <w:tc>
          <w:tcPr>
            <w:tcW w:type="dxa" w:w="680"/>
            <w:vAlign w:val="center"/>
          </w:tcPr>
          <w:p>
            <w:r>
              <w:rPr>
                <w:sz w:val="18"/>
              </w:rPr>
              <w:t>10</w:t>
            </w:r>
          </w:p>
        </w:tc>
        <w:tc>
          <w:tcPr>
            <w:tcW w:type="dxa" w:w="3685"/>
            <w:vAlign w:val="center"/>
          </w:tcPr>
          <w:p>
            <w:r>
              <w:rPr>
                <w:sz w:val="18"/>
              </w:rPr>
              <w:t>Gouttes numériques</w:t>
            </w:r>
          </w:p>
        </w:tc>
        <w:tc>
          <w:tcPr>
            <w:tcW w:type="dxa" w:w="4819"/>
            <w:vAlign w:val="center"/>
          </w:tcPr>
          <w:p>
            <w:r>
              <w:rPr>
                <w:sz w:val="18"/>
              </w:rPr>
              <w:t>gouttes électroniques</w:t>
            </w:r>
          </w:p>
        </w:tc>
      </w:tr>
      <w:tr>
        <w:tc>
          <w:tcPr>
            <w:tcW w:type="dxa" w:w="680"/>
            <w:vAlign w:val="center"/>
          </w:tcPr>
          <w:p>
            <w:r>
              <w:rPr>
                <w:sz w:val="18"/>
              </w:rPr>
              <w:t>11</w:t>
            </w:r>
          </w:p>
        </w:tc>
        <w:tc>
          <w:tcPr>
            <w:tcW w:type="dxa" w:w="3685"/>
            <w:vAlign w:val="center"/>
          </w:tcPr>
          <w:p>
            <w:r>
              <w:rPr>
                <w:sz w:val="18"/>
              </w:rPr>
              <w:t>Alerte solaire</w:t>
            </w:r>
          </w:p>
        </w:tc>
        <w:tc>
          <w:tcPr>
            <w:tcW w:type="dxa" w:w="4819"/>
            <w:vAlign w:val="center"/>
          </w:tcPr>
          <w:p>
            <w:r>
              <w:rPr>
                <w:sz w:val="18"/>
              </w:rPr>
              <w:t>signal lumineux</w:t>
            </w:r>
          </w:p>
        </w:tc>
      </w:tr>
      <w:tr>
        <w:tc>
          <w:tcPr>
            <w:tcW w:type="dxa" w:w="680"/>
            <w:vAlign w:val="center"/>
          </w:tcPr>
          <w:p>
            <w:r>
              <w:rPr>
                <w:sz w:val="18"/>
              </w:rPr>
              <w:t>12</w:t>
            </w:r>
          </w:p>
        </w:tc>
        <w:tc>
          <w:tcPr>
            <w:tcW w:type="dxa" w:w="3685"/>
            <w:vAlign w:val="center"/>
          </w:tcPr>
          <w:p>
            <w:r>
              <w:rPr>
                <w:sz w:val="18"/>
              </w:rPr>
              <w:t>Veille nocturne</w:t>
            </w:r>
          </w:p>
        </w:tc>
        <w:tc>
          <w:tcPr>
            <w:tcW w:type="dxa" w:w="4819"/>
            <w:vAlign w:val="center"/>
          </w:tcPr>
          <w:p>
            <w:r>
              <w:rPr>
                <w:sz w:val="18"/>
              </w:rPr>
              <w:t>ambiance nocturne</w:t>
            </w:r>
          </w:p>
        </w:tc>
      </w:tr>
      <w:tr>
        <w:tc>
          <w:tcPr>
            <w:tcW w:type="dxa" w:w="680"/>
            <w:vAlign w:val="center"/>
          </w:tcPr>
          <w:p>
            <w:r>
              <w:rPr>
                <w:sz w:val="18"/>
              </w:rPr>
              <w:t>13</w:t>
            </w:r>
          </w:p>
        </w:tc>
        <w:tc>
          <w:tcPr>
            <w:tcW w:type="dxa" w:w="3685"/>
            <w:vAlign w:val="center"/>
          </w:tcPr>
          <w:p>
            <w:r>
              <w:rPr>
                <w:sz w:val="18"/>
              </w:rPr>
              <w:t>Signal émeraude</w:t>
            </w:r>
          </w:p>
        </w:tc>
        <w:tc>
          <w:tcPr>
            <w:tcW w:type="dxa" w:w="4819"/>
            <w:vAlign w:val="center"/>
          </w:tcPr>
          <w:p>
            <w:r>
              <w:rPr>
                <w:sz w:val="18"/>
              </w:rPr>
              <w:t>signal synthétique équilibré</w:t>
            </w:r>
          </w:p>
        </w:tc>
      </w:tr>
      <w:tr>
        <w:tc>
          <w:tcPr>
            <w:tcW w:type="dxa" w:w="680"/>
            <w:vAlign w:val="center"/>
          </w:tcPr>
          <w:p>
            <w:r>
              <w:rPr>
                <w:sz w:val="18"/>
              </w:rPr>
              <w:t>14</w:t>
            </w:r>
          </w:p>
        </w:tc>
        <w:tc>
          <w:tcPr>
            <w:tcW w:type="dxa" w:w="3685"/>
            <w:vAlign w:val="center"/>
          </w:tcPr>
          <w:p>
            <w:r>
              <w:rPr>
                <w:sz w:val="18"/>
              </w:rPr>
              <w:t>Horloge mécanique</w:t>
            </w:r>
          </w:p>
        </w:tc>
        <w:tc>
          <w:tcPr>
            <w:tcW w:type="dxa" w:w="4819"/>
            <w:vAlign w:val="center"/>
          </w:tcPr>
          <w:p>
            <w:r>
              <w:rPr>
                <w:sz w:val="18"/>
              </w:rPr>
              <w:t>tic-tac mécanique</w:t>
            </w:r>
          </w:p>
        </w:tc>
      </w:tr>
      <w:tr>
        <w:tc>
          <w:tcPr>
            <w:tcW w:type="dxa" w:w="680"/>
            <w:vAlign w:val="center"/>
          </w:tcPr>
          <w:p>
            <w:r>
              <w:rPr>
                <w:sz w:val="18"/>
              </w:rPr>
              <w:t>15</w:t>
            </w:r>
          </w:p>
        </w:tc>
        <w:tc>
          <w:tcPr>
            <w:tcW w:type="dxa" w:w="3685"/>
            <w:vAlign w:val="center"/>
          </w:tcPr>
          <w:p>
            <w:r>
              <w:rPr>
                <w:sz w:val="18"/>
              </w:rPr>
              <w:t>Tambour doux</w:t>
            </w:r>
          </w:p>
        </w:tc>
        <w:tc>
          <w:tcPr>
            <w:tcW w:type="dxa" w:w="4819"/>
            <w:vAlign w:val="center"/>
          </w:tcPr>
          <w:p>
            <w:r>
              <w:rPr>
                <w:sz w:val="18"/>
              </w:rPr>
              <w:t>percussion feutrée</w:t>
            </w:r>
          </w:p>
        </w:tc>
      </w:tr>
      <w:tr>
        <w:tc>
          <w:tcPr>
            <w:tcW w:type="dxa" w:w="680"/>
            <w:vAlign w:val="center"/>
          </w:tcPr>
          <w:p>
            <w:r>
              <w:rPr>
                <w:sz w:val="18"/>
              </w:rPr>
              <w:t>16</w:t>
            </w:r>
          </w:p>
        </w:tc>
        <w:tc>
          <w:tcPr>
            <w:tcW w:type="dxa" w:w="3685"/>
            <w:vAlign w:val="center"/>
          </w:tcPr>
          <w:p>
            <w:r>
              <w:rPr>
                <w:sz w:val="18"/>
              </w:rPr>
              <w:t>Harmonie montante</w:t>
            </w:r>
          </w:p>
        </w:tc>
        <w:tc>
          <w:tcPr>
            <w:tcW w:type="dxa" w:w="4819"/>
            <w:vAlign w:val="center"/>
          </w:tcPr>
          <w:p>
            <w:r>
              <w:rPr>
                <w:sz w:val="18"/>
              </w:rPr>
              <w:t>progression ascendante</w:t>
            </w:r>
          </w:p>
        </w:tc>
      </w:tr>
      <w:tr>
        <w:tc>
          <w:tcPr>
            <w:tcW w:type="dxa" w:w="680"/>
            <w:vAlign w:val="center"/>
          </w:tcPr>
          <w:p>
            <w:r>
              <w:rPr>
                <w:sz w:val="18"/>
              </w:rPr>
              <w:t>17</w:t>
            </w:r>
          </w:p>
        </w:tc>
        <w:tc>
          <w:tcPr>
            <w:tcW w:type="dxa" w:w="3685"/>
            <w:vAlign w:val="center"/>
          </w:tcPr>
          <w:p>
            <w:r>
              <w:rPr>
                <w:sz w:val="18"/>
              </w:rPr>
              <w:t>Harmonie descendante</w:t>
            </w:r>
          </w:p>
        </w:tc>
        <w:tc>
          <w:tcPr>
            <w:tcW w:type="dxa" w:w="4819"/>
            <w:vAlign w:val="center"/>
          </w:tcPr>
          <w:p>
            <w:r>
              <w:rPr>
                <w:sz w:val="18"/>
              </w:rPr>
              <w:t>progression descendante</w:t>
            </w:r>
          </w:p>
        </w:tc>
      </w:tr>
      <w:tr>
        <w:tc>
          <w:tcPr>
            <w:tcW w:type="dxa" w:w="680"/>
            <w:vAlign w:val="center"/>
          </w:tcPr>
          <w:p>
            <w:r>
              <w:rPr>
                <w:sz w:val="18"/>
              </w:rPr>
              <w:t>18</w:t>
            </w:r>
          </w:p>
        </w:tc>
        <w:tc>
          <w:tcPr>
            <w:tcW w:type="dxa" w:w="3685"/>
            <w:vAlign w:val="center"/>
          </w:tcPr>
          <w:p>
            <w:r>
              <w:rPr>
                <w:sz w:val="18"/>
              </w:rPr>
              <w:t>Balise spatiale</w:t>
            </w:r>
          </w:p>
        </w:tc>
        <w:tc>
          <w:tcPr>
            <w:tcW w:type="dxa" w:w="4819"/>
            <w:vAlign w:val="center"/>
          </w:tcPr>
          <w:p>
            <w:r>
              <w:rPr>
                <w:sz w:val="18"/>
              </w:rPr>
              <w:t>balise spatiale</w:t>
            </w:r>
          </w:p>
        </w:tc>
      </w:tr>
      <w:tr>
        <w:tc>
          <w:tcPr>
            <w:tcW w:type="dxa" w:w="680"/>
            <w:vAlign w:val="center"/>
          </w:tcPr>
          <w:p>
            <w:r>
              <w:rPr>
                <w:sz w:val="18"/>
              </w:rPr>
              <w:t>19</w:t>
            </w:r>
          </w:p>
        </w:tc>
        <w:tc>
          <w:tcPr>
            <w:tcW w:type="dxa" w:w="3685"/>
            <w:vAlign w:val="center"/>
          </w:tcPr>
          <w:p>
            <w:r>
              <w:rPr>
                <w:sz w:val="18"/>
              </w:rPr>
              <w:t>Piano synthétique</w:t>
            </w:r>
          </w:p>
        </w:tc>
        <w:tc>
          <w:tcPr>
            <w:tcW w:type="dxa" w:w="4819"/>
            <w:vAlign w:val="center"/>
          </w:tcPr>
          <w:p>
            <w:r>
              <w:rPr>
                <w:sz w:val="18"/>
              </w:rPr>
              <w:t>accords synthétiques</w:t>
            </w:r>
          </w:p>
        </w:tc>
      </w:tr>
      <w:tr>
        <w:tc>
          <w:tcPr>
            <w:tcW w:type="dxa" w:w="680"/>
            <w:vAlign w:val="center"/>
          </w:tcPr>
          <w:p>
            <w:r>
              <w:rPr>
                <w:sz w:val="18"/>
              </w:rPr>
              <w:t>20</w:t>
            </w:r>
          </w:p>
        </w:tc>
        <w:tc>
          <w:tcPr>
            <w:tcW w:type="dxa" w:w="3685"/>
            <w:vAlign w:val="center"/>
          </w:tcPr>
          <w:p>
            <w:r>
              <w:rPr>
                <w:sz w:val="18"/>
              </w:rPr>
              <w:t>Urgence feutrée</w:t>
            </w:r>
          </w:p>
        </w:tc>
        <w:tc>
          <w:tcPr>
            <w:tcW w:type="dxa" w:w="4819"/>
            <w:vAlign w:val="center"/>
          </w:tcPr>
          <w:p>
            <w:r>
              <w:rPr>
                <w:sz w:val="18"/>
              </w:rPr>
              <w:t>alerte rythmée mais adoucie</w:t>
            </w:r>
          </w:p>
        </w:tc>
      </w:tr>
    </w:tbl>
    <w:p>
      <w:pPr>
        <w:pStyle w:val="Heading2"/>
      </w:pPr>
      <w:r>
        <w:t>16.1 Choisir et écouter un son intégré</w:t>
      </w:r>
    </w:p>
    <w:p>
      <w:pPr>
        <w:pStyle w:val="BodyText"/>
      </w:pPr>
      <w:r>
        <w:t>1.  Ouvrez « Personnaliser les alarmes et l’affichage ».</w:t>
      </w:r>
    </w:p>
    <w:p>
      <w:pPr>
        <w:pStyle w:val="BodyText"/>
      </w:pPr>
      <w:r>
        <w:t>2.  Dans la colonne « Son intégré », choisissez l’un des vingt noms.</w:t>
      </w:r>
    </w:p>
    <w:p>
      <w:pPr>
        <w:pStyle w:val="BodyText"/>
      </w:pPr>
      <w:r>
        <w:t>3.  Cliquez sur « Lecture » pour écouter immédiatement le fichier sélectionné.</w:t>
      </w:r>
    </w:p>
    <w:p>
      <w:pPr>
        <w:pStyle w:val="BodyText"/>
      </w:pPr>
      <w:r>
        <w:t>4.  Cochez « Boucle », choisissez la durée et l’unité, puis cliquez sur « Enregistrer et relancer ».</w:t>
      </w:r>
    </w:p>
    <w:p>
      <w:pPr>
        <w:pStyle w:val="BodyText"/>
      </w:pPr>
      <w:r>
        <w:t>5.  Pour revenir à vos propres fichiers, choisissez « Fichier personnalisé / historique » puis « Parcourir… ».</w:t>
      </w:r>
    </w:p>
    <w:p>
      <w:pPr>
        <w:pStyle w:val="Heading2"/>
      </w:pPr>
      <w:r>
        <w:t>16.2 Sources consultées pour la recherche juridique et sonore</w:t>
      </w:r>
    </w:p>
    <w:p>
      <w:pPr>
        <w:pStyle w:val="ListBullet"/>
      </w:pPr>
      <w:r>
        <w:t xml:space="preserve">Freesound – FAQ sur les licences Creative Commons: </w:t>
      </w:r>
      <w:r>
        <w:t>https://freesound.org/help/faq/</w:t>
      </w:r>
    </w:p>
    <w:p>
      <w:pPr>
        <w:pStyle w:val="ListBullet"/>
      </w:pPr>
      <w:r>
        <w:t xml:space="preserve">OpenGameArt – FAQ ; CC0 y est présenté comme l’équivalent Creative Commons du domaine public: </w:t>
      </w:r>
      <w:r>
        <w:t>https://opengameart.org/content/faq</w:t>
      </w:r>
    </w:p>
    <w:p>
      <w:pPr>
        <w:pStyle w:val="ListBullet"/>
      </w:pPr>
      <w:r>
        <w:t xml:space="preserve">OpenGameArt – collection de musiques CC0 comprenant plusieurs boucles sans raccord perceptible: </w:t>
      </w:r>
      <w:r>
        <w:t>https://opengameart.org/content/cc0-music-0</w:t>
      </w:r>
    </w:p>
    <w:p>
      <w:pPr>
        <w:pStyle w:val="ListBullet"/>
      </w:pPr>
      <w:r>
        <w:t xml:space="preserve">OpenGameArt – collection CC0 de musiques rétro et boucles courtes: </w:t>
      </w:r>
      <w:r>
        <w:t>https://opengameart.org/content/cc0-retro-music</w:t>
      </w:r>
    </w:p>
    <w:p>
      <w:pPr>
        <w:jc w:val="center"/>
      </w:pPr>
      <w:r>
        <w:rPr>
          <w:b/>
          <w:color w:val="1F4E79"/>
          <w:sz w:val="20"/>
        </w:rPr>
        <w:t>ALERTE AGENDA — VERSION 1.0 • NOTICE FINALE</w:t>
      </w:r>
    </w:p>
    <w:sectPr w:rsidR="00FC693F" w:rsidRPr="0006063C" w:rsidSect="00034616">
      <w:headerReference w:type="default" r:id="rId9"/>
      <w:footerReference w:type="default" r:id="rId10"/>
      <w:pgSz w:w="11906" w:h="16838"/>
      <w:pgMar w:top="850" w:right="964" w:bottom="850"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Noto Sans" w:hAnsi="Noto Sans"/>
        <w:color w:val="5D6B78"/>
        <w:sz w:val="18"/>
      </w:rPr>
      <w:t xml:space="preserve">Page </w:t>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t>ALERTE AGENDA  •  Notice Windows 11  •  Version 1.0</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Display" w:hAnsi="Noto Sans Display"/>
      <w:b/>
      <w:bCs/>
      <w:color w:val="123A5A"/>
      <w:sz w:val="40"/>
      <w:szCs w:val="28"/>
    </w:rPr>
  </w:style>
  <w:style w:type="paragraph" w:styleId="Heading2">
    <w:name w:val="heading 2"/>
    <w:basedOn w:val="Normal"/>
    <w:next w:val="Normal"/>
    <w:link w:val="Heading2Char"/>
    <w:uiPriority w:val="9"/>
    <w:unhideWhenUsed/>
    <w:qFormat/>
    <w:rsid w:val="00FC693F"/>
    <w:pPr>
      <w:keepNext/>
      <w:keepLines/>
      <w:spacing w:before="160" w:after="100"/>
      <w:outlineLvl w:val="1"/>
    </w:pPr>
    <w:rPr>
      <w:rFonts w:asciiTheme="majorHAnsi" w:eastAsiaTheme="majorEastAsia" w:hAnsiTheme="majorHAnsi" w:cstheme="majorBidi" w:ascii="Noto Sans Display" w:hAnsi="Noto Sans Display"/>
      <w:b/>
      <w:bCs/>
      <w:color w:val="1E5A8A"/>
      <w:sz w:val="28"/>
      <w:szCs w:val="26"/>
    </w:rPr>
  </w:style>
  <w:style w:type="paragraph" w:styleId="Heading3">
    <w:name w:val="heading 3"/>
    <w:basedOn w:val="Normal"/>
    <w:next w:val="Normal"/>
    <w:link w:val="Heading3Char"/>
    <w:uiPriority w:val="9"/>
    <w:unhideWhenUsed/>
    <w:qFormat/>
    <w:rsid w:val="00FC693F"/>
    <w:pPr>
      <w:keepNext/>
      <w:keepLines/>
      <w:spacing w:before="160" w:after="100"/>
      <w:outlineLvl w:val="2"/>
    </w:pPr>
    <w:rPr>
      <w:rFonts w:asciiTheme="majorHAnsi" w:eastAsiaTheme="majorEastAsia" w:hAnsiTheme="majorHAnsi" w:cstheme="majorBidi" w:ascii="Noto Sans Display" w:hAnsi="Noto Sans Display"/>
      <w:b/>
      <w:bCs/>
      <w:color w:val="E69F00"/>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80" w:line="269" w:lineRule="auto"/>
    </w:pPr>
    <w:rPr>
      <w:rFonts w:ascii="Noto Sans" w:hAnsi="Noto Sans"/>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9" w:lineRule="auto"/>
      <w:contextualSpacing/>
    </w:pPr>
    <w:rPr>
      <w:rFonts w:ascii="Noto Sans" w:hAnsi="Noto Sans"/>
      <w:sz w:val="21"/>
    </w:rPr>
  </w:style>
  <w:style w:type="paragraph" w:styleId="ListBullet2">
    <w:name w:val="List Bullet 2"/>
    <w:basedOn w:val="Normal"/>
    <w:uiPriority w:val="99"/>
    <w:unhideWhenUsed/>
    <w:rsid w:val="00326F90"/>
    <w:pPr>
      <w:numPr>
        <w:numId w:val="2"/>
      </w:numPr>
      <w:spacing w:after="80" w:line="269" w:lineRule="auto"/>
      <w:contextualSpacing/>
    </w:pPr>
    <w:rPr>
      <w:rFonts w:ascii="Noto Sans" w:hAnsi="Noto Sans"/>
      <w:sz w:val="21"/>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9" w:lineRule="auto"/>
      <w:contextualSpacing/>
    </w:pPr>
    <w:rPr>
      <w:rFonts w:ascii="Noto Sans" w:hAnsi="Noto San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Alerte Agenda V1.0 — notice d’installation et d’utilisation</dc:title>
  <dc:subject>Google Agenda, alarmes plein écran, horloge, sons intégrés et alertes multiples</dc:subject>
  <dc:creator>David Salvan — documentation réalisée avec OpenAI</dc:creator>
  <cp:keywords/>
  <dc:description>Version 1.0 du 30 juillet 2026</dc:description>
  <cp:lastModifiedBy/>
  <cp:revision>1</cp:revision>
  <dcterms:created xsi:type="dcterms:W3CDTF">2013-12-23T23:15:00Z</dcterms:created>
  <dcterms:modified xsi:type="dcterms:W3CDTF">2013-12-23T23:15:00Z</dcterms:modified>
  <cp:category/>
</cp:coreProperties>
</file>